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rId12.pdf" ContentType="application/pdf"/>
  <Override PartName="/word/media/rId16.pdf" ContentType="application/pdf"/>
  <Override PartName="/word/media/rId20.pdf" ContentType="application/pdf"/>
  <Override PartName="/word/media/rId25.pdf" ContentType="application/pdf"/>
  <Override PartName="/word/media/rId32.pdf" ContentType="application/pdf"/>
  <Override PartName="/word/media/rId45.pdf" ContentType="application/pdf"/>
  <Override PartName="/word/media/rId50.pdf" ContentType="application/pd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sec:intro"/>
    <w:p>
      <w:pPr>
        <w:pStyle w:val="Heading1"/>
      </w:pPr>
      <w:r>
        <w:rPr>
          <w:rStyle w:val="SectionNumber"/>
          <w:rFonts w:ascii="Palatino Linotype" w:hAnsi="Palatino Linotype"/>
        </w:rPr>
        <w:t xml:space="preserve">1</w:t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 xml:space="preserve">Introduction</w:t>
      </w:r>
    </w:p>
    <w:p>
      <w:pPr>
        <w:pStyle w:val="FirstParagraph"/>
        <w:jc w:val="both"/>
      </w:pPr>
      <w:r>
        <w:rPr>
          <w:rFonts w:ascii="Palatino Linotype" w:hAnsi="Palatino Linotype"/>
          <w:sz w:val="20"/>
        </w:rPr>
        <w:t xml:space="preserve">During the 2021 Evia wildfire—the largest recorded in the European Union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at the time—settlements were isolated for days and medical supplies had to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reach them by sea and air </w:t>
      </w:r>
      <w:r>
        <w:rPr>
          <w:rFonts w:ascii="Palatino Linotype" w:hAnsi="Palatino Linotype"/>
          <w:sz w:val="20"/>
        </w:rPr>
        <w:t xml:space="preserve">. Two years later, the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2023 Evros megafire consumed 96,000 hectares under complex no-fly-zone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constraints </w:t>
      </w:r>
      <w:r>
        <w:rPr>
          <w:rFonts w:ascii="Palatino Linotype" w:hAnsi="Palatino Linotype"/>
          <w:sz w:val="20"/>
        </w:rPr>
        <w:t xml:space="preserve">. In both events, UAVs could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have delivered medicine, surveyed fire perimeters, and located stranded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casualties—provided a planner could reach the target within a time horizon where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the delivery still has value.</w:t>
      </w:r>
    </w:p>
    <w:p>
      <w:pPr>
        <w:pStyle w:val="BodyText"/>
        <w:jc w:val="both"/>
      </w:pPr>
      <w:r>
        <w:rPr>
          <w:rFonts w:ascii="Palatino Linotype" w:hAnsi="Palatino Linotype"/>
          <w:sz w:val="20"/>
        </w:rPr>
        <w:t xml:space="preserve">Current benchmarks cannot evaluate this requirement. They reduce every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mission to a binary question—</w:t>
      </w:r>
      <w:r>
        <w:rPr>
          <w:rFonts w:ascii="Palatino Linotype" w:hAnsi="Palatino Linotype"/>
          <w:i/>
          <w:iCs/>
          <w:sz w:val="20"/>
        </w:rPr>
        <w:t xml:space="preserve">did the agent reach the goal?</w:t>
      </w:r>
      <w:r>
        <w:rPr>
          <w:rFonts w:ascii="Palatino Linotype" w:hAnsi="Palatino Linotype"/>
          <w:sz w:val="20"/>
        </w:rPr>
        <w:t xml:space="preserve">—and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rank planners by success rate alone. This framing is blind to delivery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time: it equates a planner that delivers insulin in 200 steps with one that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arrives in 800, though the patient outcomes are vastly different. Navigation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success is not a proxy for mission effectiveness.</w:t>
      </w:r>
    </w:p>
    <w:p>
      <w:pPr>
        <w:pStyle w:val="BodyText"/>
        <w:jc w:val="both"/>
      </w:pPr>
      <w:r>
        <w:rPr>
          <w:rFonts w:ascii="Palatino Linotype" w:hAnsi="Palatino Linotype"/>
          <w:sz w:val="20"/>
        </w:rPr>
        <w:t xml:space="preserve">This paper poses the question directly: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i/>
          <w:iCs/>
          <w:sz w:val="20"/>
        </w:rPr>
        <w:t xml:space="preserve">does the planner that</w:t>
      </w:r>
      <w:r>
        <w:rPr>
          <w:rFonts w:ascii="Palatino Linotype" w:hAnsi="Palatino Linotype"/>
          <w:i/>
          <w:iCs/>
          <w:sz w:val="20"/>
        </w:rPr>
        <w:t xml:space="preserve"> </w:t>
      </w:r>
      <w:r>
        <w:rPr>
          <w:rFonts w:ascii="Palatino Linotype" w:hAnsi="Palatino Linotype"/>
          <w:i/>
          <w:iCs/>
          <w:sz w:val="20"/>
        </w:rPr>
        <w:t xml:space="preserve">survives most often also save the most lives?</w:t>
      </w:r>
    </w:p>
    <w:p>
      <w:pPr>
        <w:pStyle w:val="BodyText"/>
        <w:jc w:val="both"/>
      </w:pPr>
      <w:r>
        <w:rPr>
          <w:rFonts w:ascii="Palatino Linotype" w:hAnsi="Palatino Linotype"/>
          <w:sz w:val="20"/>
        </w:rPr>
        <w:t xml:space="preserve">Across 450 deterministic episodes on three Greek wildfire scenarios, the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answer is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b/>
          <w:bCs/>
          <w:sz w:val="20"/>
        </w:rPr>
        <w:t xml:space="preserve">no</w:t>
      </w:r>
      <w:r>
        <w:rPr>
          <w:rFonts w:ascii="Palatino Linotype" w:hAnsi="Palatino Linotype"/>
          <w:sz w:val="20"/>
        </w:rPr>
        <w:t xml:space="preserve">. We term this phenomenon the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i/>
          <w:iCs/>
          <w:sz w:val="20"/>
        </w:rPr>
        <w:t xml:space="preserve">ranking</w:t>
      </w:r>
      <w:r>
        <w:rPr>
          <w:rFonts w:ascii="Palatino Linotype" w:hAnsi="Palatino Linotype"/>
          <w:i/>
          <w:iCs/>
          <w:sz w:val="20"/>
        </w:rPr>
        <w:t xml:space="preserve"> </w:t>
      </w:r>
      <w:r>
        <w:rPr>
          <w:rFonts w:ascii="Palatino Linotype" w:hAnsi="Palatino Linotype"/>
          <w:i/>
          <w:iCs/>
          <w:sz w:val="20"/>
        </w:rPr>
        <w:t xml:space="preserve">inversion</w:t>
      </w:r>
      <w:r>
        <w:rPr>
          <w:rFonts w:ascii="Palatino Linotype" w:hAnsi="Palatino Linotype"/>
          <w:sz w:val="20"/>
        </w:rPr>
        <w:t xml:space="preserve">: planner orderings by navigation success rate diverge from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orderings by mission impact score.</w:t>
      </w:r>
    </w:p>
    <w:p>
      <w:pPr>
        <w:pStyle w:val="BodyText"/>
        <w:jc w:val="both"/>
      </w:pPr>
      <w:r>
        <w:rPr>
          <w:rFonts w:ascii="Palatino Linotype" w:hAnsi="Palatino Linotype"/>
          <w:sz w:val="20"/>
        </w:rPr>
        <w:t xml:space="preserve">The cause traces to a single parameter—the risk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coefficient </w:t>
      </w:r>
      <m:oMath>
        <m:r>
          <m:t>ρ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≥</m:t>
            </m:r>
            <m:r>
              <m:t>0</m:t>
            </m:r>
          </m:sub>
        </m:sSub>
      </m:oMath>
      <w:r>
        <w:rPr>
          <w:rFonts w:ascii="Palatino Linotype" w:hAnsi="Palatino Linotype"/>
          <w:sz w:val="20"/>
        </w:rPr>
        <w:t xml:space="preserve">—that governs how strongly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each planner avoids hazards. Higher </w:t>
      </w:r>
      <m:oMath>
        <m:r>
          <m:t>ρ</m:t>
        </m:r>
      </m:oMath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amplifies perceived danger,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producing wider detours with higher survival probability.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Lower </w:t>
      </w:r>
      <m:oMath>
        <m:r>
          <m:t>ρ</m:t>
        </m:r>
      </m:oMath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discounts risk, permitting shorter-time routes through fire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fringes at the cost of increased collision probability. Risk is not penalised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directly—it is penalised through time-induced mission degradation:</w:t>
      </w:r>
    </w:p>
    <w:p>
      <w:pPr>
        <w:pStyle w:val="BodyText"/>
        <w:jc w:val="both"/>
      </w:pPr>
      <m:oMathPara>
        <m:oMathParaPr>
          <m:jc m:val="center"/>
        </m:oMathParaPr>
        <m:oMath>
          <m:r>
            <m:t>ρ</m:t>
          </m:r>
          <m:r>
            <m:t> </m:t>
          </m:r>
          <m:r>
            <m:rPr>
              <m:sty m:val="p"/>
            </m:rPr>
            <m:t>↑</m:t>
          </m:r>
          <m:r>
            <m:t> 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t> </m:t>
          </m:r>
          <m:r>
            <m:rPr>
              <m:nor/>
              <m:sty m:val="p"/>
            </m:rPr>
            <m:t>higher </m:t>
          </m:r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survive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t> </m:t>
          </m:r>
          <m:r>
            <m:t>t</m:t>
          </m:r>
          <m:r>
            <m:t> </m:t>
          </m:r>
          <m:r>
            <m:rPr>
              <m:sty m:val="p"/>
            </m:rPr>
            <m:t>↑</m:t>
          </m:r>
          <m:r>
            <m:t> 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t> </m:t>
          </m:r>
          <m:r>
            <m:t>M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↓</m:t>
          </m:r>
        </m:oMath>
      </m:oMathPara>
    </w:p>
    <w:p>
      <w:pPr>
        <w:pStyle w:val="FirstParagraph"/>
        <w:jc w:val="both"/>
      </w:pPr>
      <w:r>
        <w:rPr>
          <w:rFonts w:ascii="Palatino Linotype" w:hAnsi="Palatino Linotype"/>
          <w:sz w:val="20"/>
        </w:rPr>
        <w:t xml:space="preserve">where</w:t>
      </w:r>
      <w:r>
        <w:rPr>
          <w:rFonts w:ascii="Palatino Linotype" w:hAnsi="Palatino Linotype"/>
          <w:sz w:val="20"/>
        </w:rP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is the delivery step and</w:t>
      </w:r>
      <w:r>
        <w:rPr>
          <w:rFonts w:ascii="Palatino Linotype" w:hAnsi="Palatino Linotype"/>
          <w:sz w:val="20"/>
        </w:rPr>
        <w:t xml:space="preserve"> </w:t>
      </w:r>
      <m:oMath>
        <m:r>
          <m:t>M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is the strictly decreasing mission score.</w:t>
      </w:r>
    </w:p>
    <w:p>
      <w:pPr>
        <w:pStyle w:val="BodyText"/>
        <w:jc w:val="both"/>
      </w:pPr>
      <w:r>
        <w:rPr>
          <w:rFonts w:ascii="Palatino Linotype" w:hAnsi="Palatino Linotype"/>
          <w:b/>
          <w:bCs/>
          <w:sz w:val="20"/>
        </w:rPr>
        <w:t xml:space="preserve">Contributions.</w:t>
      </w:r>
    </w:p>
    <w:p>
      <w:pPr>
        <w:numPr>
          <w:ilvl w:val="0"/>
          <w:numId w:val="1001"/>
        </w:numPr>
        <w:jc w:val="both"/>
      </w:pPr>
      <w:r>
        <w:rPr>
          <w:rFonts w:ascii="Palatino Linotype" w:hAnsi="Palatino Linotype"/>
          <w:b/>
          <w:bCs/>
          <w:sz w:val="20"/>
        </w:rPr>
        <w:t xml:space="preserve">FLARE benchmark</w:t>
      </w:r>
      <w:r>
        <w:rPr>
          <w:rFonts w:ascii="Palatino Linotype" w:hAnsi="Palatino Linotype"/>
          <w:sz w:val="20"/>
        </w:rPr>
        <w:t xml:space="preserve">: three OSM-derived wildfire scenarios with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coupled hazard dynamics and time-decaying mission scores, grounded in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real Greek incidents, enforcing 36 deterministic contracts.</w:t>
      </w:r>
    </w:p>
    <w:p>
      <w:pPr>
        <w:numPr>
          <w:ilvl w:val="0"/>
          <w:numId w:val="1001"/>
        </w:numPr>
        <w:jc w:val="both"/>
      </w:pPr>
      <w:r>
        <w:rPr>
          <w:rFonts w:ascii="Palatino Linotype" w:hAnsi="Palatino Linotype"/>
          <w:b/>
          <w:bCs/>
          <w:sz w:val="20"/>
        </w:rPr>
        <w:t xml:space="preserve">Risk-parameterised planner suite</w:t>
      </w:r>
      <w:r>
        <w:rPr>
          <w:rFonts w:ascii="Palatino Linotype" w:hAnsi="Palatino Linotype"/>
          <w:sz w:val="20"/>
        </w:rPr>
        <w:t xml:space="preserve">: five planners spanning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static, adaptive, and reactive families, differing solely in </w:t>
      </w:r>
      <m:oMath>
        <m:r>
          <m:t>ρ</m:t>
        </m:r>
      </m:oMath>
      <w:r>
        <w:rPr>
          <w:rFonts w:ascii="Palatino Linotype" w:hAnsi="Palatino Linotype"/>
          <w:sz w:val="20"/>
        </w:rPr>
        <w:t xml:space="preserve">.</w:t>
      </w:r>
    </w:p>
    <w:p>
      <w:pPr>
        <w:numPr>
          <w:ilvl w:val="0"/>
          <w:numId w:val="1001"/>
        </w:numPr>
        <w:jc w:val="both"/>
      </w:pPr>
      <w:r>
        <w:rPr>
          <w:rFonts w:ascii="Palatino Linotype" w:hAnsi="Palatino Linotype"/>
          <w:b/>
          <w:bCs/>
          <w:sz w:val="20"/>
        </w:rPr>
        <w:t xml:space="preserve">Ranking inversion</w:t>
      </w:r>
      <w:r>
        <w:rPr>
          <w:rFonts w:ascii="Palatino Linotype" w:hAnsi="Palatino Linotype"/>
          <w:sz w:val="20"/>
        </w:rPr>
        <w:t xml:space="preserve">: empirically demonstrated and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statistically validated (Friedman</w:t>
      </w:r>
      <w:r>
        <w:rPr>
          <w:rFonts w:ascii="Palatino Linotype" w:hAnsi="Palatino Linotype"/>
          <w:sz w:val="20"/>
        </w:rP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rPr>
          <w:rFonts w:ascii="Palatino Linotype" w:hAnsi="Palatino Linotype"/>
          <w:sz w:val="20"/>
        </w:rPr>
        <w:t xml:space="preserve">, Shapley attribution)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evidence that the best navigator is not the best rescuer.</w:t>
      </w:r>
    </w:p>
    <w:p>
      <w:pPr>
        <w:pStyle w:val="FirstParagraph"/>
        <w:jc w:val="both"/>
      </w:pPr>
      <w:r>
        <w:rPr>
          <w:rFonts w:ascii="Palatino Linotype" w:hAnsi="Palatino Linotype"/>
          <w:sz w:val="20"/>
        </w:rPr>
        <w:t xml:space="preserve">The remainder is organised as follows: Section 2 describes the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benchmark design; Section 3 presents experiments;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Section 4 interprets findings; Section 5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concludes.</w:t>
      </w:r>
    </w:p>
    <w:bookmarkStart w:id="9" w:name="sec:related"/>
    <w:p>
      <w:pPr>
        <w:pStyle w:val="Heading2"/>
      </w:pPr>
      <w:r>
        <w:rPr>
          <w:rStyle w:val="SectionNumber"/>
          <w:rFonts w:ascii="Palatino Linotype" w:hAnsi="Palatino Linotype"/>
        </w:rPr>
        <w:t xml:space="preserve">1.1</w:t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 xml:space="preserve">Related Work</w:t>
      </w:r>
    </w:p>
    <w:p>
      <w:pPr>
        <w:pStyle w:val="FirstParagraph"/>
        <w:jc w:val="both"/>
      </w:pPr>
      <w:r>
        <w:rPr>
          <w:rFonts w:ascii="Palatino Linotype" w:hAnsi="Palatino Linotype"/>
          <w:b/>
          <w:bCs/>
          <w:sz w:val="20"/>
        </w:rPr>
        <w:t xml:space="preserve">UAV path planning.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Classical planners—A* </w:t>
      </w:r>
      <w:r>
        <w:rPr>
          <w:rFonts w:ascii="Palatino Linotype" w:hAnsi="Palatino Linotype"/>
          <w:sz w:val="20"/>
        </w:rPr>
        <w:t xml:space="preserve">,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D* Lite </w:t>
      </w:r>
      <w:r>
        <w:rPr>
          <w:rFonts w:ascii="Palatino Linotype" w:hAnsi="Palatino Linotype"/>
          <w:sz w:val="20"/>
        </w:rPr>
        <w:t xml:space="preserve">, APF </w:t>
      </w:r>
      <w:r>
        <w:rPr>
          <w:rFonts w:ascii="Palatino Linotype" w:hAnsi="Palatino Linotype"/>
          <w:sz w:val="20"/>
        </w:rPr>
        <w:t xml:space="preserve">—are surveyed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extensively </w:t>
      </w:r>
      <w:r>
        <w:rPr>
          <w:rFonts w:ascii="Palatino Linotype" w:hAnsi="Palatino Linotype"/>
          <w:sz w:val="20"/>
        </w:rPr>
        <w:t xml:space="preserve">. Risk-aware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extensions 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weight edges by hazard proximity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but evaluate only path length or success rate. No existing work evaluates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the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i/>
          <w:iCs/>
          <w:sz w:val="20"/>
        </w:rPr>
        <w:t xml:space="preserve">mission-level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consequences of risk sensitivity—the gap that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FLARE addresses.</w:t>
      </w:r>
    </w:p>
    <w:p>
      <w:pPr>
        <w:pStyle w:val="BodyText"/>
        <w:jc w:val="both"/>
      </w:pPr>
      <w:r>
        <w:rPr>
          <w:rFonts w:ascii="Palatino Linotype" w:hAnsi="Palatino Linotype"/>
          <w:b/>
          <w:bCs/>
          <w:sz w:val="20"/>
        </w:rPr>
        <w:t xml:space="preserve">Reproducible benchmarking.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Henderson et al. 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demonstrated evaluation fragility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without fixed seeds. Robust practice now includes IQM with bootstrap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CIs </w:t>
      </w:r>
      <w:r>
        <w:rPr>
          <w:rFonts w:ascii="Palatino Linotype" w:hAnsi="Palatino Linotype"/>
          <w:sz w:val="20"/>
        </w:rPr>
        <w:t xml:space="preserve">, Friedman/Wilcoxon tests </w:t>
      </w:r>
      <w:r>
        <w:rPr>
          <w:rFonts w:ascii="Palatino Linotype" w:hAnsi="Palatino Linotype"/>
          <w:sz w:val="20"/>
        </w:rPr>
        <w:t xml:space="preserve">, and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performance profiles </w:t>
      </w:r>
      <w:r>
        <w:rPr>
          <w:rFonts w:ascii="Palatino Linotype" w:hAnsi="Palatino Linotype"/>
          <w:sz w:val="20"/>
        </w:rPr>
        <w:t xml:space="preserve">. Bonsignorio et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al. 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advocate published experimental contracts.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FLARE adopts all four: deterministic replay, IQM, rank tests, and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36 enforceable contracts verified by 189 automated assertions.</w:t>
      </w:r>
    </w:p>
    <w:p>
      <w:pPr>
        <w:pStyle w:val="BodyText"/>
        <w:jc w:val="both"/>
      </w:pPr>
      <w:r>
        <w:rPr>
          <w:rFonts w:ascii="Palatino Linotype" w:hAnsi="Palatino Linotype"/>
          <w:b/>
          <w:bCs/>
          <w:sz w:val="20"/>
        </w:rPr>
        <w:t xml:space="preserve">Dynamic fire environments.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Cellular-automaton models with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wind-directional spread 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capture the dominant fire propagation mechanism. Most UAV benchmarks,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however, use static or randomly toggled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blockages </w:t>
      </w:r>
      <w:r>
        <w:rPr>
          <w:rFonts w:ascii="Palatino Linotype" w:hAnsi="Palatino Linotype"/>
          <w:sz w:val="20"/>
        </w:rPr>
        <w:t xml:space="preserve">—environments that do not worsen over time.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FLARE’s physically motivated dynamics (spreading fire, collapsing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buildings, closing roads) create a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i/>
          <w:iCs/>
          <w:sz w:val="20"/>
        </w:rPr>
        <w:t xml:space="preserve">monotonically degrading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environment, a qualitatively harder and more realistic challenge.</w:t>
      </w:r>
    </w:p>
    <w:p>
      <w:pPr>
        <w:pStyle w:val="BodyText"/>
        <w:jc w:val="both"/>
      </w:pPr>
      <w:r>
        <w:rPr>
          <w:rFonts w:ascii="Palatino Linotype" w:hAnsi="Palatino Linotype"/>
          <w:b/>
          <w:bCs/>
          <w:sz w:val="20"/>
        </w:rPr>
        <w:t xml:space="preserve">The missing evaluation paradigm.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Across all three threads,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existing work shares one blind spot: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i/>
          <w:iCs/>
          <w:sz w:val="20"/>
        </w:rPr>
        <w:t xml:space="preserve">time-coupled mission value</w:t>
      </w:r>
      <w:r>
        <w:rPr>
          <w:rFonts w:ascii="Palatino Linotype" w:hAnsi="Palatino Linotype"/>
          <w:sz w:val="20"/>
        </w:rPr>
        <w:t xml:space="preserve">.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Success rate counts completions; FLARE measures their worth.</w:t>
      </w:r>
    </w:p>
    <w:bookmarkEnd w:id="9"/>
    <w:bookmarkEnd w:id="10"/>
    <w:bookmarkStart w:id="41" w:name="sec:methods"/>
    <w:p>
      <w:pPr>
        <w:pStyle w:val="Heading1"/>
      </w:pPr>
      <w:r>
        <w:rPr>
          <w:rStyle w:val="SectionNumber"/>
          <w:rFonts w:ascii="Palatino Linotype" w:hAnsi="Palatino Linotype"/>
        </w:rPr>
        <w:t xml:space="preserve">2</w:t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 xml:space="preserve">Materials and Methods</w:t>
      </w:r>
    </w:p>
    <w:bookmarkStart w:id="11" w:name="sec:environment"/>
    <w:p>
      <w:pPr>
        <w:pStyle w:val="Heading2"/>
      </w:pPr>
      <w:r>
        <w:rPr>
          <w:rStyle w:val="SectionNumber"/>
          <w:rFonts w:ascii="Palatino Linotype" w:hAnsi="Palatino Linotype"/>
        </w:rPr>
        <w:t xml:space="preserve">2.1</w:t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 xml:space="preserve">Environment</w:t>
      </w:r>
    </w:p>
    <w:p>
      <w:pPr>
        <w:pStyle w:val="FirstParagraph"/>
        <w:jc w:val="both"/>
      </w:pPr>
      <w:r>
        <w:rPr>
          <w:rFonts w:ascii="Palatino Linotype" w:hAnsi="Palatino Linotype"/>
          <w:sz w:val="20"/>
        </w:rPr>
        <w:t xml:space="preserve">FLARE operates on a grid</w:t>
      </w:r>
      <w:r>
        <w:rPr>
          <w:rFonts w:ascii="Palatino Linotype" w:hAnsi="Palatino Linotype"/>
          <w:sz w:val="20"/>
        </w:rPr>
        <w:t xml:space="preserve"> </w:t>
      </w:r>
      <m:oMath>
        <m:r>
          <m:rPr>
            <m:scr m:val="script"/>
            <m:sty m:val="p"/>
          </m:rPr>
          <m:t>G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499</m:t>
        </m:r>
        <m:sSup>
          <m:e>
            <m:r>
              <m:rPr>
                <m:sty m:val="p"/>
              </m:rPr>
              <m:t>}</m:t>
            </m:r>
          </m:e>
          <m:sup>
            <m:r>
              <m:t>2</m:t>
            </m:r>
          </m:sup>
        </m:sSup>
      </m:oMath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(</w:t>
      </w:r>
      <m:oMath>
        <m:r>
          <m:rPr>
            <m:sty m:val="p"/>
          </m:rPr>
          <m:t>∼</m:t>
        </m:r>
        <m:r>
          <m:t>3</m:t>
        </m:r>
      </m:oMath>
      <w:r>
        <w:rPr>
          <w:rFonts w:ascii="Palatino Linotype" w:hAnsi="Palatino Linotype"/>
          <w:sz w:val="20"/>
        </w:rPr>
        <w:t xml:space="preserve"> m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per cell), extracted from OpenStreetMap tiles 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of Greek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urban areas. The Gymnasium-compatible 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environment exposes</w:t>
      </w:r>
      <w:r>
        <w:rPr>
          <w:rFonts w:ascii="Palatino Linotype" w:hAnsi="Palatino Linotype"/>
          <w:sz w:val="20"/>
        </w:rPr>
        <w:t xml:space="preserve"> </w:t>
      </w:r>
      <m:oMath>
        <m:r>
          <m:rPr>
            <m:sty m:val="p"/>
          </m:rPr>
          <m:t>|</m:t>
        </m:r>
        <m:r>
          <m:rPr>
            <m:scr m:val="script"/>
            <m:sty m:val="p"/>
          </m:rPr>
          <m:t>A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5</m:t>
        </m:r>
      </m:oMath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actions (four cardinal moves and stay). A strict timing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contract governs each step: the planner observes the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i/>
          <w:iCs/>
          <w:sz w:val="20"/>
        </w:rPr>
        <w:t xml:space="preserve">current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blocking mask (frozen), selects an action, and only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i/>
          <w:iCs/>
          <w:sz w:val="20"/>
        </w:rPr>
        <w:t xml:space="preserve">then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do dynamics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advance (fairness contract FC-2). If fire or debris reaches the agent’s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cell after the dynamics update, the episode terminates immediately.</w:t>
      </w:r>
    </w:p>
    <w:bookmarkEnd w:id="11"/>
    <w:bookmarkStart w:id="24" w:name="sec:dynamics"/>
    <w:p>
      <w:pPr>
        <w:pStyle w:val="Heading2"/>
      </w:pPr>
      <w:r>
        <w:rPr>
          <w:rStyle w:val="SectionNumber"/>
          <w:rFonts w:ascii="Palatino Linotype" w:hAnsi="Palatino Linotype"/>
        </w:rPr>
        <w:t xml:space="preserve">2.2</w:t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 xml:space="preserve">Hazard Dynamics</w:t>
      </w:r>
    </w:p>
    <w:p>
      <w:pPr>
        <w:pStyle w:val="FirstParagraph"/>
        <w:jc w:val="both"/>
      </w:pPr>
      <w:r>
        <w:rPr>
          <w:rFonts w:ascii="Palatino Linotype" w:hAnsi="Palatino Linotype"/>
          <w:sz w:val="20"/>
        </w:rPr>
        <w:t xml:space="preserve">Three coupled layers produce a hazard landscape that worsens monotonically.</w:t>
      </w:r>
    </w:p>
    <w:p>
      <w:pPr>
        <w:pStyle w:val="BodyText"/>
        <w:jc w:val="both"/>
      </w:pPr>
      <w:r>
        <w:rPr>
          <w:rFonts w:ascii="Palatino Linotype" w:hAnsi="Palatino Linotype"/>
          <w:b/>
          <w:bCs/>
          <w:sz w:val="20"/>
        </w:rPr>
        <w:t xml:space="preserve">Wind-driven fire.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Spread follows a cellular automaton on the Moore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neighbourhood </w:t>
      </w:r>
      <w:r>
        <w:rPr>
          <w:rFonts w:ascii="Palatino Linotype" w:hAnsi="Palatino Linotype"/>
          <w:sz w:val="20"/>
        </w:rPr>
        <w:t xml:space="preserve">, modulated by wind direction and land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use. Downwind cells ignite faster; upwind cells are suppressed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(Figure 1). A buffer zone (radius 1) and dense smoke further restrict UAV movement.</w:t>
      </w:r>
    </w:p>
    <w:bookmarkStart w:id="15" w:name="fig:wind"/>
    <w:p>
      <w:pPr>
        <w:pStyle w:val="CaptionedFigure"/>
      </w:pPr>
      <w:r>
        <w:drawing>
          <wp:inline>
            <wp:extent cx="5334000" cy="264869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../figures/wind_driven_fire.pdf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8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Wind reshapes the hazard geometry. (</w:t>
      </w:r>
      <w:r>
        <w:rPr>
          <w:b/>
          <w:bCs/>
        </w:rPr>
        <w:t xml:space="preserve">a</w:t>
      </w:r>
      <w:r>
        <w:t xml:space="preserve">) Without wind, fire expands</w:t>
      </w:r>
      <w:r>
        <w:t xml:space="preserve"> </w:t>
      </w:r>
      <w:r>
        <w:t xml:space="preserve">symmetrically. (</w:t>
      </w:r>
      <w:r>
        <w:rPr>
          <w:b/>
          <w:bCs/>
        </w:rPr>
        <w:t xml:space="preserve">b</w:t>
      </w:r>
      <w:r>
        <w:t xml:space="preserve">) At 3 m/s from the west, fire elongates downwind,</w:t>
      </w:r>
      <w:r>
        <w:t xml:space="preserve"> </w:t>
      </w:r>
      <w:r>
        <w:t xml:space="preserve">blocking the direct route while the upwind flank remains passable for</w:t>
      </w:r>
      <w:r>
        <w:t xml:space="preserve"> </w:t>
      </w:r>
      <w:r>
        <w:t xml:space="preserve">risk-tolerant planners. Black circles denote dynamic obstacles; blue</w:t>
      </w:r>
      <w:r>
        <w:t xml:space="preserve"> </w:t>
      </w:r>
      <w:r>
        <w:t xml:space="preserve">cross denotes the UAV. Penteli, seed 42,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150</m:t>
        </m:r>
      </m:oMath>
      <w:r>
        <w:t xml:space="preserve">.</w:t>
      </w:r>
    </w:p>
    <w:bookmarkEnd w:id="15"/>
    <w:p>
      <w:pPr>
        <w:pStyle w:val="BodyText"/>
        <w:jc w:val="both"/>
      </w:pPr>
      <w:r>
        <w:rPr>
          <w:rFonts w:ascii="Palatino Linotype" w:hAnsi="Palatino Linotype"/>
          <w:b/>
          <w:bCs/>
          <w:sz w:val="20"/>
        </w:rPr>
        <w:t xml:space="preserve">Structural collapse.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Buildings exposed to fire for</w:t>
      </w:r>
      <w:r>
        <w:rPr>
          <w:rFonts w:ascii="Palatino Linotype" w:hAnsi="Palatino Linotype"/>
          <w:sz w:val="20"/>
        </w:rPr>
        <w:t xml:space="preserve"> </w:t>
      </w:r>
      <m:oMath>
        <m:sSub>
          <m:e>
            <m:r>
              <m:t>τ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80</m:t>
        </m:r>
      </m:oMath>
      <w:r>
        <w:rPr>
          <w:rFonts w:ascii="Palatino Linotype" w:hAnsi="Palatino Linotype"/>
          <w:sz w:val="20"/>
        </w:rPr>
        <w:t xml:space="preserve"> steps collapse with probability</w:t>
      </w:r>
      <w:r>
        <w:rPr>
          <w:rFonts w:ascii="Palatino Linotype" w:hAnsi="Palatino Linotype"/>
          <w:sz w:val="20"/>
        </w:rP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0.6</m:t>
        </m:r>
      </m:oMath>
      <w:r>
        <w:rPr>
          <w:rFonts w:ascii="Palatino Linotype" w:hAnsi="Palatino Linotype"/>
          <w:sz w:val="20"/>
        </w:rPr>
        <w:t xml:space="preserve">, scattering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permanent debris. Unlike fire—which burns out—debris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i/>
          <w:iCs/>
          <w:sz w:val="20"/>
        </w:rPr>
        <w:t xml:space="preserve">accumulates</w:t>
      </w:r>
      <w:r>
        <w:rPr>
          <w:rFonts w:ascii="Palatino Linotype" w:hAnsi="Palatino Linotype"/>
          <w:sz w:val="20"/>
        </w:rPr>
        <w:t xml:space="preserve">, progressively eliminating detour options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(Figure 2).</w:t>
      </w:r>
    </w:p>
    <w:bookmarkStart w:id="19" w:name="fig:collapse"/>
    <w:p>
      <w:pPr>
        <w:pStyle w:val="CaptionedFigure"/>
      </w:pPr>
      <w:r>
        <w:drawing>
          <wp:inline>
            <wp:extent cx="5334000" cy="3281594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../figures/collapse_cascade.pdf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1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Cascading hazard coupling. (</w:t>
      </w:r>
      <w:r>
        <w:rPr>
          <w:b/>
          <w:bCs/>
        </w:rPr>
        <w:t xml:space="preserve">a</w:t>
      </w:r>
      <w:r>
        <w:t xml:space="preserve">) Fire peaks then recedes, but</w:t>
      </w:r>
      <w:r>
        <w:t xml:space="preserve"> </w:t>
      </w:r>
      <w:r>
        <w:t xml:space="preserve">debris grows permanently. (</w:t>
      </w:r>
      <w:r>
        <w:rPr>
          <w:b/>
          <w:bCs/>
        </w:rPr>
        <w:t xml:space="preserve">b</w:t>
      </w:r>
      <w:r>
        <w:t xml:space="preserve">–</w:t>
      </w:r>
      <w:r>
        <w:rPr>
          <w:b/>
          <w:bCs/>
        </w:rPr>
        <w:t xml:space="preserve">e</w:t>
      </w:r>
      <w:r>
        <w:t xml:space="preserve">) Four snapshots trace the cascade</w:t>
      </w:r>
      <w:r>
        <w:t xml:space="preserve"> </w:t>
      </w:r>
      <w:r>
        <w:t xml:space="preserve">from clean grid to permanent debris field (Penteli, seed 42).</w:t>
      </w:r>
    </w:p>
    <w:bookmarkEnd w:id="19"/>
    <w:p>
      <w:pPr>
        <w:pStyle w:val="BodyText"/>
        <w:jc w:val="both"/>
      </w:pPr>
      <w:r>
        <w:rPr>
          <w:rFonts w:ascii="Palatino Linotype" w:hAnsi="Palatino Linotype"/>
          <w:b/>
          <w:bCs/>
          <w:sz w:val="20"/>
        </w:rPr>
        <w:t xml:space="preserve">Dynamic obstacles.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Moving obstacles patrol the road network,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blocking UAV movement within a Manhattan buffer (radius 5). The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interaction engine couples fire to traffic: fire proximity closes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road segments, creating compound blockages that neither layer produces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alone (Figure 3).</w:t>
      </w:r>
    </w:p>
    <w:bookmarkStart w:id="23" w:name="fig:traffic"/>
    <w:p>
      <w:pPr>
        <w:pStyle w:val="CaptionedFigure"/>
      </w:pPr>
      <w:r>
        <w:drawing>
          <wp:inline>
            <wp:extent cx="5295900" cy="26670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../figures/traffic_dynamics.pdf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Fire–obstacle coupling (Piraeus, seed 42). (</w:t>
      </w:r>
      <w:r>
        <w:rPr>
          <w:b/>
          <w:bCs/>
        </w:rPr>
        <w:t xml:space="preserve">a</w:t>
      </w:r>
      <w:r>
        <w:t xml:space="preserve">) Dynamic</w:t>
      </w:r>
      <w:r>
        <w:t xml:space="preserve"> </w:t>
      </w:r>
      <w:r>
        <w:t xml:space="preserve">obstacles operate normally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. (</w:t>
      </w:r>
      <w:r>
        <w:rPr>
          <w:b/>
          <w:bCs/>
        </w:rPr>
        <w:t xml:space="preserve">b</w:t>
      </w:r>
      <w:r>
        <w:t xml:space="preserve">) Fire triggers road</w:t>
      </w:r>
      <w:r>
        <w:t xml:space="preserve"> </w:t>
      </w:r>
      <w:r>
        <w:t xml:space="preserve">closures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80</m:t>
        </m:r>
      </m:oMath>
      <w:r>
        <w:t xml:space="preserve">. (</w:t>
      </w:r>
      <w:r>
        <w:rPr>
          <w:b/>
          <w:bCs/>
        </w:rPr>
        <w:t xml:space="preserve">c</w:t>
      </w:r>
      <w:r>
        <w:t xml:space="preserve">) 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150</m:t>
        </m:r>
      </m:oMath>
      <w:r>
        <w:t xml:space="preserve">, fire, closures, and diverted</w:t>
      </w:r>
      <w:r>
        <w:t xml:space="preserve"> </w:t>
      </w:r>
      <w:r>
        <w:t xml:space="preserve">obstacles jointly cut the corridor. Black circles denote dynamic</w:t>
      </w:r>
      <w:r>
        <w:t xml:space="preserve"> </w:t>
      </w:r>
      <w:r>
        <w:t xml:space="preserve">obstacles; blue cross denotes the UAV.</w:t>
      </w:r>
    </w:p>
    <w:bookmarkEnd w:id="23"/>
    <w:bookmarkEnd w:id="24"/>
    <w:bookmarkStart w:id="29" w:name="sec:riskmap"/>
    <w:p>
      <w:pPr>
        <w:pStyle w:val="Heading2"/>
      </w:pPr>
      <w:r>
        <w:rPr>
          <w:rStyle w:val="SectionNumber"/>
          <w:rFonts w:ascii="Palatino Linotype" w:hAnsi="Palatino Linotype"/>
        </w:rPr>
        <w:t xml:space="preserve">2.3</w:t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 xml:space="preserve">Risk Cost Map</w:t>
      </w:r>
    </w:p>
    <w:p>
      <w:pPr>
        <w:pStyle w:val="FirstParagraph"/>
        <w:jc w:val="both"/>
      </w:pPr>
      <w:r>
        <w:rPr>
          <w:rFonts w:ascii="Palatino Linotype" w:hAnsi="Palatino Linotype"/>
          <w:sz w:val="20"/>
        </w:rPr>
        <w:t xml:space="preserve">The perception pipeline maps raw hazards to planner-specific edge costs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in two stages: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i/>
          <w:iCs/>
          <w:sz w:val="20"/>
        </w:rPr>
        <w:t xml:space="preserve">risk fusion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and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i/>
          <w:iCs/>
          <w:sz w:val="20"/>
        </w:rPr>
        <w:t xml:space="preserve">cost inflation</w:t>
      </w:r>
      <w:r>
        <w:rPr>
          <w:rFonts w:ascii="Palatino Linotype" w:hAnsi="Palatino Linotype"/>
          <w:sz w:val="20"/>
        </w:rPr>
        <w:t xml:space="preserve">.</w:t>
      </w:r>
    </w:p>
    <w:p>
      <w:pPr>
        <w:pStyle w:val="BodyText"/>
        <w:jc w:val="both"/>
      </w:pPr>
      <w:r>
        <w:rPr>
          <w:rFonts w:ascii="Palatino Linotype" w:hAnsi="Palatino Linotype"/>
          <w:b/>
          <w:bCs/>
          <w:sz w:val="20"/>
        </w:rPr>
        <w:t xml:space="preserve">Stage 1: Risk fusion.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Five distance-decay layers are fused into a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continuous risk map</w:t>
      </w:r>
      <w:r>
        <w:rPr>
          <w:rFonts w:ascii="Palatino Linotype" w:hAnsi="Palatino Linotype"/>
          <w:sz w:val="20"/>
        </w:rPr>
        <w:t xml:space="preserve"> </w:t>
      </w:r>
      <m:oMath>
        <m:r>
          <m:t>R</m:t>
        </m:r>
        <m:r>
          <m:rPr>
            <m:sty m:val="p"/>
          </m:rPr>
          <m:t>:</m:t>
        </m:r>
        <m:r>
          <m:rPr>
            <m:scr m:val="script"/>
            <m:sty m:val="p"/>
          </m:rPr>
          <m:t>G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via element-wise max:</w:t>
      </w:r>
    </w:p>
    <w:p>
      <w:pPr>
        <w:pStyle w:val="BodyText"/>
        <w:jc w:val="both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R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R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nfz</m:t>
                  </m:r>
                </m:sub>
              </m:sSub>
            </m:e>
          </m:d>
        </m:oMath>
      </m:oMathPara>
    </w:p>
    <w:p>
      <w:pPr>
        <w:pStyle w:val="FirstParagraph"/>
        <w:jc w:val="both"/>
      </w:pPr>
      <w:r>
        <w:rPr>
          <w:rFonts w:ascii="Palatino Linotype" w:hAnsi="Palatino Linotype"/>
          <w:sz w:val="20"/>
        </w:rPr>
        <w:t xml:space="preserve">where</w:t>
      </w:r>
      <w:r>
        <w:rPr>
          <w:rFonts w:ascii="Palatino Linotype" w:hAnsi="Palatino Linotype"/>
          <w:sz w:val="20"/>
        </w:rP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f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(fire),</w:t>
      </w:r>
      <w:r>
        <w:rPr>
          <w:rFonts w:ascii="Palatino Linotype" w:hAnsi="Palatino Linotype"/>
          <w:sz w:val="20"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/</m:t>
        </m:r>
        <m:r>
          <m:t>2</m:t>
        </m:r>
      </m:oMath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(smoke),</w:t>
      </w:r>
      <w:r>
        <w:rPr>
          <w:rFonts w:ascii="Palatino Linotype" w:hAnsi="Palatino Linotype"/>
          <w:sz w:val="20"/>
        </w:rP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0.6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t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(traffic),</w:t>
      </w:r>
      <w:r>
        <w:rPr>
          <w:rFonts w:ascii="Palatino Linotype" w:hAnsi="Palatino Linotype"/>
          <w:sz w:val="20"/>
        </w:rP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0.7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b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b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(debris), and</w:t>
      </w:r>
      <w:r>
        <w:rPr>
          <w:rFonts w:ascii="Palatino Linotype" w:hAnsi="Palatino Linotype"/>
          <w:sz w:val="20"/>
        </w:rP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nfz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(no-fly zones),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for</w:t>
      </w:r>
      <w:r>
        <w:rPr>
          <w:rFonts w:ascii="Palatino Linotype" w:hAnsi="Palatino Linotype"/>
          <w:sz w:val="20"/>
        </w:rP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G</m:t>
        </m:r>
      </m:oMath>
      <w:r>
        <w:rPr>
          <w:rFonts w:ascii="Palatino Linotype" w:hAnsi="Palatino Linotype"/>
          <w:sz w:val="20"/>
        </w:rPr>
        <w:t xml:space="preserve">, where</w:t>
      </w:r>
      <w:r>
        <w:rPr>
          <w:rFonts w:ascii="Palatino Linotype" w:hAnsi="Palatino Linotype"/>
          <w:sz w:val="20"/>
        </w:rPr>
        <w:t xml:space="preserve"> </w:t>
      </w:r>
      <m:oMath>
        <m:sSub>
          <m:e>
            <m:r>
              <m:t>d</m:t>
            </m:r>
          </m:e>
          <m:sub>
            <m:r>
              <m:t>f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b</m:t>
            </m:r>
          </m:sub>
        </m:sSub>
      </m:oMath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are Euclidean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distance transforms from fire, traffic, and debris with influence radii</w:t>
      </w:r>
      <w:r>
        <w:rPr>
          <w:rFonts w:ascii="Palatino Linotype" w:hAnsi="Palatino Linotype"/>
          <w:sz w:val="20"/>
        </w:rP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30</m:t>
        </m:r>
      </m:oMath>
      <w:r>
        <w:rPr>
          <w:rFonts w:ascii="Palatino Linotype" w:hAnsi="Palatino Linotype"/>
          <w:sz w:val="20"/>
        </w:rPr>
        <w:t xml:space="preserve">,</w:t>
      </w:r>
      <w:r>
        <w:rPr>
          <w:rFonts w:ascii="Palatino Linotype" w:hAnsi="Palatino Linotype"/>
          <w:sz w:val="20"/>
        </w:rP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10</m:t>
        </m:r>
      </m:oMath>
      <w:r>
        <w:rPr>
          <w:rFonts w:ascii="Palatino Linotype" w:hAnsi="Palatino Linotype"/>
          <w:sz w:val="20"/>
        </w:rPr>
        <w:t xml:space="preserve">,</w:t>
      </w:r>
      <w:r>
        <w:rPr>
          <w:rFonts w:ascii="Palatino Linotype" w:hAnsi="Palatino Linotype"/>
          <w:sz w:val="20"/>
        </w:rP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8</m:t>
        </m:r>
      </m:oMath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cells;</w:t>
      </w:r>
      <w:r>
        <w:rPr>
          <w:rFonts w:ascii="Palatino Linotype" w:hAnsi="Palatino Linotype"/>
          <w:sz w:val="20"/>
        </w:rP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is smoke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concentration;</w:t>
      </w:r>
      <w:r>
        <w:rPr>
          <w:rFonts w:ascii="Palatino Linotype" w:hAnsi="Palatino Linotype"/>
          <w:sz w:val="20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ascii="Palatino Linotype" w:hAnsi="Palatino Linotype"/>
          <w:sz w:val="20"/>
        </w:rPr>
        <w:t xml:space="preserve">. The scaling constants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(0.6, 0.7) are calibrated heuristics reflecting the relative severity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of each hazard layer (insensitive to</w:t>
      </w:r>
      <w:r>
        <w:rPr>
          <w:rFonts w:ascii="Palatino Linotype" w:hAnsi="Palatino Linotype"/>
          <w:sz w:val="20"/>
        </w:rPr>
        <w:t xml:space="preserve"> </w:t>
      </w:r>
      <m:oMath>
        <m:r>
          <m:rPr>
            <m:sty m:val="p"/>
          </m:rPr>
          <m:t>±</m:t>
        </m:r>
        <m:r>
          <m:t>20</m:t>
        </m:r>
        <m:r>
          <m:rPr>
            <m:sty m:val="p"/>
          </m:rPr>
          <m:t>%</m:t>
        </m:r>
      </m:oMath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perturbation). We use</w:t>
      </w:r>
      <w:r>
        <w:rPr>
          <w:rFonts w:ascii="Palatino Linotype" w:hAnsi="Palatino Linotype"/>
          <w:sz w:val="20"/>
        </w:rPr>
        <w:t xml:space="preserve"> </w:t>
      </w:r>
      <m:oMath>
        <m:r>
          <m:rPr>
            <m:sty m:val="p"/>
          </m:rPr>
          <m:t>max</m:t>
        </m:r>
      </m:oMath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rather than summation so that a single severe hazard dominates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regardless of benign neighbours.</w:t>
      </w:r>
    </w:p>
    <w:p>
      <w:pPr>
        <w:pStyle w:val="BodyText"/>
        <w:jc w:val="both"/>
      </w:pPr>
      <w:r>
        <w:rPr>
          <w:rFonts w:ascii="Palatino Linotype" w:hAnsi="Palatino Linotype"/>
          <w:b/>
          <w:bCs/>
          <w:sz w:val="20"/>
        </w:rPr>
        <w:t xml:space="preserve">Stage 2: Cost inflation.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Each planner inflates its edge cost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using a planner-specific risk coefficient</w:t>
      </w:r>
      <w:r>
        <w:rPr>
          <w:rFonts w:ascii="Palatino Linotype" w:hAnsi="Palatino Linotype"/>
          <w:sz w:val="20"/>
        </w:rPr>
        <w:t xml:space="preserve"> </w:t>
      </w:r>
      <m:oMath>
        <m:r>
          <m:t>ρ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≥</m:t>
            </m:r>
            <m:r>
              <m:t>0</m:t>
            </m:r>
          </m:sub>
        </m:sSub>
      </m:oMath>
      <w:r>
        <w:rPr>
          <w:rFonts w:ascii="Palatino Linotype" w:hAnsi="Palatino Linotype"/>
          <w:sz w:val="20"/>
        </w:rPr>
        <w:t xml:space="preserve">:</w:t>
      </w:r>
    </w:p>
    <w:p>
      <w:pPr>
        <w:pStyle w:val="BodyText"/>
        <w:jc w:val="both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ρ</m:t>
          </m:r>
          <m:r>
            <m:rPr>
              <m:sty m:val="p"/>
            </m:rPr>
            <m:t>⋅</m:t>
          </m:r>
          <m:r>
            <m:t>R</m:t>
          </m:r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jc w:val="both"/>
      </w:pPr>
      <w:r>
        <w:rPr>
          <w:rFonts w:ascii="Palatino Linotype" w:hAnsi="Palatino Linotype"/>
          <w:sz w:val="20"/>
        </w:rPr>
        <w:t xml:space="preserve">High </w:t>
      </w:r>
      <m:oMath>
        <m:r>
          <m:t>ρ</m:t>
        </m:r>
      </m:oMath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amplifies perceived danger, causing wider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detours; low </w:t>
      </w:r>
      <m:oMath>
        <m:r>
          <m:t>ρ</m:t>
        </m:r>
      </m:oMath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allows routes through fire fringes.</w:t>
      </w:r>
    </w:p>
    <w:p>
      <w:pPr>
        <w:pStyle w:val="BodyText"/>
        <w:jc w:val="both"/>
      </w:pPr>
      <w:r>
        <w:rPr>
          <w:rFonts w:ascii="Palatino Linotype" w:hAnsi="Palatino Linotype"/>
          <w:sz w:val="18"/>
        </w:rPr>
        <w:t xml:space="preserve">Figure 4 establishes visually that</w:t>
      </w:r>
      <w:r>
        <w:rPr>
          <w:rFonts w:ascii="Palatino Linotype" w:hAnsi="Palatino Linotype"/>
          <w:sz w:val="18"/>
        </w:rPr>
        <w:t xml:space="preserve"> </w:t>
      </w:r>
      <m:oMath>
        <m:r>
          <m:t>ρ</m:t>
        </m:r>
      </m:oMath>
      <w:r>
        <w:rPr>
          <w:rFonts w:ascii="Palatino Linotype" w:hAnsi="Palatino Linotype"/>
          <w:sz w:val="18"/>
        </w:rPr>
        <w:t xml:space="preserve"> </w:t>
      </w:r>
      <w:r>
        <w:rPr>
          <w:rFonts w:ascii="Palatino Linotype" w:hAnsi="Palatino Linotype"/>
          <w:sz w:val="18"/>
        </w:rPr>
        <w:t xml:space="preserve">alone—not</w:t>
      </w:r>
      <w:r>
        <w:rPr>
          <w:rFonts w:ascii="Palatino Linotype" w:hAnsi="Palatino Linotype"/>
          <w:sz w:val="18"/>
        </w:rPr>
        <w:t xml:space="preserve"> </w:t>
      </w:r>
      <w:r>
        <w:rPr>
          <w:rFonts w:ascii="Palatino Linotype" w:hAnsi="Palatino Linotype"/>
          <w:sz w:val="18"/>
        </w:rPr>
        <w:t xml:space="preserve">the algorithm—controls what the planner</w:t>
      </w:r>
      <w:r>
        <w:rPr>
          <w:rFonts w:ascii="Palatino Linotype" w:hAnsi="Palatino Linotype"/>
          <w:sz w:val="18"/>
        </w:rPr>
        <w:t xml:space="preserve"> </w:t>
      </w:r>
      <w:r>
        <w:rPr>
          <w:rFonts w:ascii="Palatino Linotype" w:hAnsi="Palatino Linotype"/>
          <w:sz w:val="18"/>
        </w:rPr>
        <w:t xml:space="preserve">“sees”</w:t>
      </w:r>
      <w:r>
        <w:rPr>
          <w:rFonts w:ascii="Palatino Linotype" w:hAnsi="Palatino Linotype"/>
          <w:sz w:val="18"/>
        </w:rPr>
        <w:t xml:space="preserve">: the</w:t>
      </w:r>
      <w:r>
        <w:rPr>
          <w:rFonts w:ascii="Palatino Linotype" w:hAnsi="Palatino Linotype"/>
          <w:sz w:val="18"/>
        </w:rPr>
        <w:t xml:space="preserve"> </w:t>
      </w:r>
      <w:r>
        <w:rPr>
          <w:rFonts w:ascii="Palatino Linotype" w:hAnsi="Palatino Linotype"/>
          <w:i/>
          <w:iCs/>
          <w:sz w:val="18"/>
        </w:rPr>
        <w:t xml:space="preserve">same</w:t>
      </w:r>
      <w:r>
        <w:rPr>
          <w:rFonts w:ascii="Palatino Linotype" w:hAnsi="Palatino Linotype"/>
          <w:sz w:val="18"/>
        </w:rPr>
        <w:t xml:space="preserve"> </w:t>
      </w:r>
      <w:r>
        <w:rPr>
          <w:rFonts w:ascii="Palatino Linotype" w:hAnsi="Palatino Linotype"/>
          <w:sz w:val="18"/>
        </w:rPr>
        <w:t xml:space="preserve">fire state produces five radically different cost landscapes.</w:t>
      </w:r>
    </w:p>
    <w:bookmarkStart w:id="28" w:name="fig:riskperception"/>
    <w:p>
      <w:pPr>
        <w:pStyle w:val="CaptionedFigure"/>
      </w:pPr>
      <w:r>
        <w:drawing>
          <wp:inline>
            <wp:extent cx="5143500" cy="27686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../figures/risk_perception_5panel.pdf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Same fire, five perceptions (</w:t>
      </w:r>
      <m:oMath>
        <m:r>
          <m:t>t</m:t>
        </m:r>
        <m:r>
          <m:rPr>
            <m:sty m:val="p"/>
          </m:rPr>
          <m:t>=</m:t>
        </m:r>
        <m:r>
          <m:t>150</m:t>
        </m:r>
      </m:oMath>
      <w:r>
        <w:t xml:space="preserve">). Each panel shows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ρ</m:t>
        </m:r>
        <m:r>
          <m:rPr>
            <m:sty m:val="p"/>
          </m:rPr>
          <m:t>⋅</m:t>
        </m:r>
        <m:r>
          <m:t>R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 A* sees uniform cost</w:t>
      </w:r>
      <w:r>
        <w:t xml:space="preserve"> </w:t>
      </w:r>
      <w:r>
        <w:t xml:space="preserve">(blind). Periodic (</w:t>
      </w:r>
      <m:oMath>
        <m:r>
          <m:t>α</m:t>
        </m:r>
        <m:r>
          <m:rPr>
            <m:sty m:val="p"/>
          </m:rPr>
          <m:t>=</m:t>
        </m:r>
        <m:r>
          <m:t>5.0</m:t>
        </m:r>
      </m:oMath>
      <w:r>
        <w:t xml:space="preserve">) sees fire as an impassable wall.</w:t>
      </w:r>
      <w:r>
        <w:t xml:space="preserve"> </w:t>
      </w:r>
      <w:r>
        <w:t xml:space="preserve">Aggressive (</w:t>
      </w:r>
      <m:oMath>
        <m:r>
          <m:t>β</m:t>
        </m:r>
        <m:r>
          <m:rPr>
            <m:sty m:val="p"/>
          </m:rPr>
          <m:t>=</m:t>
        </m:r>
        <m:r>
          <m:t>0.5</m:t>
        </m:r>
      </m:oMath>
      <w:r>
        <w:t xml:space="preserve">) barely registers danger. The coefficient,</w:t>
      </w:r>
      <w:r>
        <w:t xml:space="preserve"> </w:t>
      </w:r>
      <w:r>
        <w:t xml:space="preserve">not the algorithm, determines what the planner</w:t>
      </w:r>
      <w:r>
        <w:t xml:space="preserve"> </w:t>
      </w:r>
      <w:r>
        <w:t xml:space="preserve">“sees.”</w:t>
      </w:r>
    </w:p>
    <w:bookmarkEnd w:id="28"/>
    <w:bookmarkEnd w:id="29"/>
    <w:bookmarkStart w:id="31" w:name="sec:planners"/>
    <w:p>
      <w:pPr>
        <w:pStyle w:val="Heading2"/>
      </w:pPr>
      <w:r>
        <w:rPr>
          <w:rStyle w:val="SectionNumber"/>
          <w:rFonts w:ascii="Palatino Linotype" w:hAnsi="Palatino Linotype"/>
        </w:rPr>
        <w:t xml:space="preserve">2.4</w:t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 xml:space="preserve">Planner Suite</w:t>
      </w:r>
    </w:p>
    <w:p>
      <w:pPr>
        <w:pStyle w:val="FirstParagraph"/>
        <w:jc w:val="both"/>
      </w:pPr>
      <w:r>
        <w:rPr>
          <w:rFonts w:ascii="Palatino Linotype" w:hAnsi="Palatino Linotype"/>
          <w:sz w:val="20"/>
        </w:rPr>
        <w:t xml:space="preserve">Five planners from three algorithmic families are controlled by a single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coefficient </w:t>
      </w:r>
      <m:oMath>
        <m:r>
          <m:t>ρ</m:t>
        </m:r>
      </m:oMath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(Table 1).</w:t>
      </w:r>
    </w:p>
    <w:p>
      <w:pPr>
        <w:numPr>
          <w:ilvl w:val="0"/>
          <w:numId w:val="1002"/>
        </w:numPr>
        <w:jc w:val="both"/>
      </w:pPr>
      <w:r>
        <w:rPr>
          <w:rFonts w:ascii="Palatino Linotype" w:hAnsi="Palatino Linotype"/>
          <w:b/>
          <w:bCs/>
          <w:sz w:val="20"/>
        </w:rPr>
        <w:t xml:space="preserve">A*</w:t>
      </w:r>
      <w:r>
        <w:rPr>
          <w:rFonts w:ascii="Palatino Linotype" w:hAnsi="Palatino Linotype"/>
          <w:sz w:val="20"/>
        </w:rPr>
        <w:t xml:space="preserve"> </w:t>
      </w:r>
      <w:r>
        <w:rPr>
          <w:rFonts w:ascii="Palatino Linotype" w:hAnsi="Palatino Linotype"/>
          <w:sz w:val="20"/>
        </w:rPr>
        <w:t xml:space="preserve">: static baseline; plans once,</w:t>
      </w:r>
      <w:r>
        <w:rPr>
          <w:rFonts w:ascii="Palatino Linotype" w:hAnsi="Palatino Linotype"/>
          <w:sz w:val="20"/>
        </w:rP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(ignores risk).</w:t>
      </w:r>
    </w:p>
    <w:p>
      <w:pPr>
        <w:numPr>
          <w:ilvl w:val="0"/>
          <w:numId w:val="1002"/>
        </w:numPr>
        <w:jc w:val="both"/>
      </w:pPr>
      <w:r>
        <w:rPr>
          <w:rFonts w:ascii="Palatino Linotype" w:hAnsi="Palatino Linotype"/>
          <w:b/>
          <w:bCs/>
          <w:sz w:val="20"/>
        </w:rPr>
        <w:t xml:space="preserve">Periodic</w:t>
      </w:r>
      <w:r>
        <w:rPr>
          <w:rFonts w:ascii="Palatino Linotype" w:hAnsi="Palatino Linotype"/>
          <w:sz w:val="20"/>
        </w:rPr>
        <w:t xml:space="preserve">: replans every 6 steps,</w:t>
      </w:r>
      <w:r>
        <w:rPr>
          <w:rFonts w:ascii="Palatino Linotype" w:hAnsi="Palatino Linotype"/>
          <w:sz w:val="20"/>
        </w:rPr>
        <w:t xml:space="preserve"> </w:t>
      </w:r>
      <m:oMath>
        <m:r>
          <m:t>α</m:t>
        </m:r>
        <m:r>
          <m:rPr>
            <m:sty m:val="p"/>
          </m:rPr>
          <m:t>=</m:t>
        </m:r>
        <m:r>
          <m:t>5.0</m:t>
        </m:r>
      </m:oMath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(risk-averse).</w:t>
      </w:r>
    </w:p>
    <w:p>
      <w:pPr>
        <w:numPr>
          <w:ilvl w:val="0"/>
          <w:numId w:val="1002"/>
        </w:numPr>
        <w:jc w:val="both"/>
      </w:pPr>
      <w:r>
        <w:rPr>
          <w:rFonts w:ascii="Palatino Linotype" w:hAnsi="Palatino Linotype"/>
          <w:b/>
          <w:bCs/>
          <w:sz w:val="20"/>
        </w:rPr>
        <w:t xml:space="preserve">Aggressive</w:t>
      </w:r>
      <w:r>
        <w:rPr>
          <w:rFonts w:ascii="Palatino Linotype" w:hAnsi="Palatino Linotype"/>
          <w:sz w:val="20"/>
        </w:rPr>
        <w:t xml:space="preserve">: replans on mask change,</w:t>
      </w:r>
      <w:r>
        <w:rPr>
          <w:rFonts w:ascii="Palatino Linotype" w:hAnsi="Palatino Linotype"/>
          <w:sz w:val="20"/>
        </w:rPr>
        <w:t xml:space="preserve"> </w:t>
      </w:r>
      <m:oMath>
        <m:r>
          <m:t>β</m:t>
        </m:r>
        <m:r>
          <m:rPr>
            <m:sty m:val="p"/>
          </m:rPr>
          <m:t>=</m:t>
        </m:r>
        <m:r>
          <m:t>0.5</m:t>
        </m:r>
      </m:oMath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(risk-tolerant).</w:t>
      </w:r>
    </w:p>
    <w:p>
      <w:pPr>
        <w:numPr>
          <w:ilvl w:val="0"/>
          <w:numId w:val="1002"/>
        </w:numPr>
        <w:jc w:val="both"/>
      </w:pPr>
      <w:r>
        <w:rPr>
          <w:rFonts w:ascii="Palatino Linotype" w:hAnsi="Palatino Linotype"/>
          <w:b/>
          <w:bCs/>
          <w:sz w:val="20"/>
        </w:rPr>
        <w:t xml:space="preserve">Incremental A*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(D* Lite-inspired </w:t>
      </w:r>
      <w:r>
        <w:rPr>
          <w:rFonts w:ascii="Palatino Linotype" w:hAnsi="Palatino Linotype"/>
          <w:sz w:val="20"/>
        </w:rPr>
        <w:t xml:space="preserve">): replans on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path invalidation,</w:t>
      </w:r>
      <w:r>
        <w:rPr>
          <w:rFonts w:ascii="Palatino Linotype" w:hAnsi="Palatino Linotype"/>
          <w:sz w:val="20"/>
        </w:rPr>
        <w:t xml:space="preserve"> </w:t>
      </w:r>
      <m:oMath>
        <m:r>
          <m:t>γ</m:t>
        </m:r>
        <m:r>
          <m:rPr>
            <m:sty m:val="p"/>
          </m:rPr>
          <m:t>=</m:t>
        </m:r>
        <m:r>
          <m:t>2.0</m:t>
        </m:r>
      </m:oMath>
      <w:r>
        <w:rPr>
          <w:rFonts w:ascii="Palatino Linotype" w:hAnsi="Palatino Linotype"/>
          <w:sz w:val="20"/>
        </w:rPr>
        <w:t xml:space="preserve">.</w:t>
      </w:r>
    </w:p>
    <w:p>
      <w:pPr>
        <w:numPr>
          <w:ilvl w:val="0"/>
          <w:numId w:val="1002"/>
        </w:numPr>
        <w:jc w:val="both"/>
      </w:pPr>
      <w:r>
        <w:rPr>
          <w:rFonts w:ascii="Palatino Linotype" w:hAnsi="Palatino Linotype"/>
          <w:b/>
          <w:bCs/>
          <w:sz w:val="20"/>
        </w:rPr>
        <w:t xml:space="preserve">APF</w:t>
      </w:r>
      <w:r>
        <w:rPr>
          <w:rFonts w:ascii="Palatino Linotype" w:hAnsi="Palatino Linotype"/>
          <w:sz w:val="20"/>
        </w:rPr>
        <w:t xml:space="preserve"> </w:t>
      </w:r>
      <w:r>
        <w:rPr>
          <w:rFonts w:ascii="Palatino Linotype" w:hAnsi="Palatino Linotype"/>
          <w:sz w:val="20"/>
        </w:rPr>
        <w:t xml:space="preserve">: gradient repulsion,</w:t>
      </w:r>
      <w:r>
        <w:rPr>
          <w:rFonts w:ascii="Palatino Linotype" w:hAnsi="Palatino Linotype"/>
          <w:sz w:val="20"/>
        </w:rPr>
        <w:t xml:space="preserve"> </w:t>
      </w:r>
      <m:oMath>
        <m:r>
          <m:t>δ</m:t>
        </m:r>
        <m:r>
          <m:rPr>
            <m:sty m:val="p"/>
          </m:rPr>
          <m:t>=</m:t>
        </m:r>
        <m:r>
          <m:t>3.0</m:t>
        </m:r>
      </m:oMath>
      <w:r>
        <w:rPr>
          <w:rFonts w:ascii="Palatino Linotype" w:hAnsi="Palatino Linotype"/>
          <w:sz w:val="20"/>
        </w:rPr>
        <w:t xml:space="preserve">.</w:t>
      </w:r>
    </w:p>
    <w:bookmarkStart w:id="30" w:name="tab:planner_profiles"/>
    <w:p>
      <w:pPr>
        <w:pStyle w:val="TableCaption"/>
      </w:pPr>
      <w:r>
        <w:t xml:space="preserve">Planner profiles. The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column reveals the paper’s central finding:</w:t>
      </w:r>
      <w:r>
        <w:t xml:space="preserve"> </w:t>
      </w:r>
      <w:r>
        <w:t xml:space="preserve">the best navigator (Incr. A*, rank #1) ranks only #4 on mission effectiveness.</w:t>
      </w:r>
      <w:r>
        <w:t xml:space="preserve"> </w:t>
      </w:r>
      <w:r>
        <w:t xml:space="preserve">The best rescuer (Aggressive, mission rank #1) ranks #3 on navigation.</w:t>
      </w:r>
      <w:r>
        <w:t xml:space="preserve"> </w:t>
      </w:r>
      <w:r>
        <w:t xml:space="preserve">SR = feasible success rate; MS = normalised mission score.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Caption w:val="Planner profiles. The \Delta column reveals the paper’s central finding: the best navigator (Incr. A*, rank #1) ranks only #4 on mission effectiveness. The best rescuer (Aggressive, mission rank #1) ranks #3 on navigation. SR = feasible success rate; MS = normalised mission score.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b/>
                <w:bCs/>
                <w:sz w:val="18"/>
              </w:rPr>
              <w:t xml:space="preserve">Planner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b/>
                <w:bCs/>
                <w:sz w:val="18"/>
              </w:rPr>
              <w:t xml:space="preserve">Family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Palatino Linotype" w:hAnsi="Palatino Linotype"/>
                <w:b/>
                <w:bCs/>
                <w:sz w:val="18"/>
              </w:rPr>
              <w:t xml:space="preserve">Risk Coeff.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b/>
                <w:bCs/>
                <w:sz w:val="18"/>
              </w:rPr>
              <w:t xml:space="preserve">Replan Trigger</w:t>
            </w:r>
          </w:p>
        </w:tc>
        <w:tc>
          <w:tcPr/>
          <w:p>
            <w:pPr>
              <w:pStyle w:val="Compact"/>
              <w:spacing w:after="40" w:before="40"/>
              <w:jc w:val="right"/>
            </w:pPr>
            <w:r>
              <w:rPr>
                <w:rFonts w:ascii="Palatino Linotype" w:hAnsi="Palatino Linotype"/>
                <w:b/>
                <w:bCs/>
                <w:sz w:val="18"/>
              </w:rPr>
              <w:t xml:space="preserve">SR%</w:t>
            </w:r>
          </w:p>
        </w:tc>
        <w:tc>
          <w:tcPr/>
          <w:p>
            <w:pPr>
              <w:pStyle w:val="Compact"/>
              <w:spacing w:after="40" w:before="40"/>
              <w:jc w:val="right"/>
            </w:pPr>
            <w:r>
              <w:rPr>
                <w:rFonts w:ascii="Palatino Linotype" w:hAnsi="Palatino Linotype"/>
                <w:b/>
                <w:bCs/>
                <w:sz w:val="18"/>
              </w:rPr>
              <w:t xml:space="preserve">MS</w:t>
            </w:r>
          </w:p>
        </w:tc>
        <w:tc>
          <w:tcPr/>
          <w:p>
            <w:pPr>
              <w:pStyle w:val="Compact"/>
              <w:spacing w:after="40" w:before="40"/>
              <w:jc w:val="right"/>
            </w:pPr>
            <w:r>
              <w:rPr>
                <w:rFonts w:ascii="Palatino Linotype" w:hAnsi="Palatino Linotype"/>
                <w:b/>
                <w:bCs/>
                <w:sz w:val="18"/>
              </w:rPr>
              <w:t xml:space="preserve">Nav.R</w:t>
            </w:r>
          </w:p>
        </w:tc>
        <w:tc>
          <w:tcPr/>
          <w:p>
            <w:pPr>
              <w:pStyle w:val="Compact"/>
              <w:spacing w:after="40" w:before="40"/>
              <w:jc w:val="right"/>
            </w:pPr>
            <w:r>
              <w:rPr>
                <w:rFonts w:ascii="Palatino Linotype" w:hAnsi="Palatino Linotype"/>
                <w:b/>
                <w:bCs/>
                <w:sz w:val="18"/>
              </w:rPr>
              <w:t xml:space="preserve">Ms.R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m:oMath>
              <m:r>
                <m:rPr>
                  <m:sty m:val="b"/>
                </m:rPr>
                <m:t>Δ</m:t>
              </m:r>
            </m:oMath>
            <w:r>
              <w:rPr>
                <w:rFonts w:ascii="Palatino Linotype" w:hAnsi="Palatino Linotype"/>
                <w:sz w:val="18"/>
              </w:rPr>
              <w:t xml:space="preserve"> </w:t>
            </w:r>
            <w:r>
              <w:rPr>
                <w:rFonts w:ascii="Palatino Linotype" w:hAnsi="Palatino Linotype"/>
                <w:b/>
                <w:bCs/>
                <w:sz w:val="18"/>
              </w:rPr>
              <w:t xml:space="preserve">Rank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sz w:val="18"/>
              </w:rPr>
              <w:t xml:space="preserve">A*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sz w:val="18"/>
              </w:rPr>
              <w:t xml:space="preserve">Static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Palatino Linotype" w:hAnsi="Palatino Linotype"/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sz w:val="18"/>
              </w:rPr>
              <w:t xml:space="preserve">Never</w:t>
            </w:r>
          </w:p>
        </w:tc>
        <w:tc>
          <w:tcPr/>
          <w:p>
            <w:pPr>
              <w:pStyle w:val="Compact"/>
              <w:spacing w:after="40" w:before="40"/>
              <w:jc w:val="right"/>
            </w:pPr>
            <w:r>
              <w:rPr>
                <w:rFonts w:ascii="Palatino Linotype" w:hAnsi="Palatino Linotype"/>
                <w:sz w:val="18"/>
              </w:rPr>
              <w:t xml:space="preserve">0.0</w:t>
            </w:r>
          </w:p>
        </w:tc>
        <w:tc>
          <w:tcPr/>
          <w:p>
            <w:pPr>
              <w:pStyle w:val="Compact"/>
              <w:spacing w:after="40" w:before="40"/>
              <w:jc w:val="right"/>
            </w:pPr>
            <w:r>
              <w:rPr>
                <w:rFonts w:ascii="Palatino Linotype" w:hAnsi="Palatino Linotype"/>
                <w:sz w:val="18"/>
              </w:rPr>
              <w:t xml:space="preserve">0.00</w:t>
            </w:r>
          </w:p>
        </w:tc>
        <w:tc>
          <w:tcPr/>
          <w:p>
            <w:pPr>
              <w:pStyle w:val="Compact"/>
              <w:spacing w:after="40" w:before="40"/>
              <w:jc w:val="right"/>
            </w:pPr>
            <w:r>
              <w:rPr>
                <w:rFonts w:ascii="Palatino Linotype" w:hAnsi="Palatino Linotype"/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spacing w:after="40" w:before="40"/>
              <w:jc w:val="right"/>
            </w:pPr>
            <w:r>
              <w:rPr>
                <w:rFonts w:ascii="Palatino Linotype" w:hAnsi="Palatino Linotype"/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m:oMath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sz w:val="18"/>
              </w:rPr>
              <w:t xml:space="preserve">Periodic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sz w:val="18"/>
              </w:rPr>
              <w:t xml:space="preserve">Adaptive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5.0</m:t>
              </m:r>
            </m:oMath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sz w:val="18"/>
              </w:rPr>
              <w:t xml:space="preserve">Every 6 steps</w:t>
            </w:r>
          </w:p>
        </w:tc>
        <w:tc>
          <w:tcPr/>
          <w:p>
            <w:pPr>
              <w:pStyle w:val="Compact"/>
              <w:spacing w:after="40" w:before="40"/>
              <w:jc w:val="right"/>
            </w:pPr>
            <w:r>
              <w:rPr>
                <w:rFonts w:ascii="Palatino Linotype" w:hAnsi="Palatino Linotype"/>
                <w:sz w:val="18"/>
              </w:rPr>
              <w:t xml:space="preserve">55.4</w:t>
            </w:r>
          </w:p>
        </w:tc>
        <w:tc>
          <w:tcPr/>
          <w:p>
            <w:pPr>
              <w:pStyle w:val="Compact"/>
              <w:spacing w:after="40" w:before="40"/>
              <w:jc w:val="right"/>
            </w:pPr>
            <w:r>
              <w:rPr>
                <w:rFonts w:ascii="Palatino Linotype" w:hAnsi="Palatino Linotype"/>
                <w:sz w:val="18"/>
              </w:rPr>
              <w:t xml:space="preserve">0.98</w:t>
            </w:r>
          </w:p>
        </w:tc>
        <w:tc>
          <w:tcPr/>
          <w:p>
            <w:pPr>
              <w:pStyle w:val="Compact"/>
              <w:spacing w:after="40" w:before="40"/>
              <w:jc w:val="right"/>
            </w:pPr>
            <w:r>
              <w:rPr>
                <w:rFonts w:ascii="Palatino Linotype" w:hAnsi="Palatino Linotype"/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spacing w:after="40" w:before="40"/>
              <w:jc w:val="right"/>
            </w:pPr>
            <w:r>
              <w:rPr>
                <w:rFonts w:ascii="Palatino Linotype" w:hAnsi="Palatino Linotype"/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m:oMath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sz w:val="18"/>
              </w:rPr>
              <w:t xml:space="preserve">Aggressive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sz w:val="18"/>
              </w:rPr>
              <w:t xml:space="preserve">Adaptive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sz w:val="18"/>
              </w:rPr>
              <w:t xml:space="preserve">On obstacle change</w:t>
            </w:r>
          </w:p>
        </w:tc>
        <w:tc>
          <w:tcPr/>
          <w:p>
            <w:pPr>
              <w:pStyle w:val="Compact"/>
              <w:spacing w:after="40" w:before="40"/>
              <w:jc w:val="right"/>
            </w:pPr>
            <w:r>
              <w:rPr>
                <w:rFonts w:ascii="Palatino Linotype" w:hAnsi="Palatino Linotype"/>
                <w:sz w:val="18"/>
              </w:rPr>
              <w:t xml:space="preserve">50.6</w:t>
            </w:r>
          </w:p>
        </w:tc>
        <w:tc>
          <w:tcPr/>
          <w:p>
            <w:pPr>
              <w:pStyle w:val="Compact"/>
              <w:spacing w:after="40" w:before="40"/>
              <w:jc w:val="right"/>
            </w:pPr>
            <w:r>
              <w:rPr>
                <w:rFonts w:ascii="Palatino Linotype" w:hAnsi="Palatino Linotype"/>
                <w:sz w:val="18"/>
              </w:rPr>
              <w:t xml:space="preserve">0.99</w:t>
            </w:r>
          </w:p>
        </w:tc>
        <w:tc>
          <w:tcPr/>
          <w:p>
            <w:pPr>
              <w:pStyle w:val="Compact"/>
              <w:spacing w:after="40" w:before="40"/>
              <w:jc w:val="right"/>
            </w:pPr>
            <w:r>
              <w:rPr>
                <w:rFonts w:ascii="Palatino Linotype" w:hAnsi="Palatino Linotype"/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spacing w:after="40" w:before="40"/>
              <w:jc w:val="right"/>
            </w:pPr>
            <w:r>
              <w:rPr>
                <w:rFonts w:ascii="Palatino Linotype" w:hAnsi="Palatino Linotype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2</m:t>
              </m:r>
            </m:oMath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sz w:val="18"/>
              </w:rPr>
              <w:t xml:space="preserve">Incr. A*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sz w:val="18"/>
              </w:rPr>
              <w:t xml:space="preserve">Adaptive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m:oMath>
              <m:r>
                <m:t>γ</m:t>
              </m:r>
              <m:r>
                <m:rPr>
                  <m:sty m:val="p"/>
                </m:rPr>
                <m:t>=</m:t>
              </m:r>
              <m:r>
                <m:t>2.0</m:t>
              </m:r>
            </m:oMath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sz w:val="18"/>
              </w:rPr>
              <w:t xml:space="preserve">On path blocked</w:t>
            </w:r>
          </w:p>
        </w:tc>
        <w:tc>
          <w:tcPr/>
          <w:p>
            <w:pPr>
              <w:pStyle w:val="Compact"/>
              <w:spacing w:after="40" w:before="40"/>
              <w:jc w:val="right"/>
            </w:pPr>
            <w:r>
              <w:rPr>
                <w:rFonts w:ascii="Palatino Linotype" w:hAnsi="Palatino Linotype"/>
                <w:sz w:val="18"/>
              </w:rPr>
              <w:t xml:space="preserve">62.7</w:t>
            </w:r>
          </w:p>
        </w:tc>
        <w:tc>
          <w:tcPr/>
          <w:p>
            <w:pPr>
              <w:pStyle w:val="Compact"/>
              <w:spacing w:after="40" w:before="40"/>
              <w:jc w:val="right"/>
            </w:pPr>
            <w:r>
              <w:rPr>
                <w:rFonts w:ascii="Palatino Linotype" w:hAnsi="Palatino Linotype"/>
                <w:sz w:val="18"/>
              </w:rPr>
              <w:t xml:space="preserve">0.54</w:t>
            </w:r>
          </w:p>
        </w:tc>
        <w:tc>
          <w:tcPr/>
          <w:p>
            <w:pPr>
              <w:pStyle w:val="Compact"/>
              <w:spacing w:after="40" w:before="40"/>
              <w:jc w:val="right"/>
            </w:pPr>
            <w:r>
              <w:rPr>
                <w:rFonts w:ascii="Palatino Linotype" w:hAnsi="Palatino Linotype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after="40" w:before="40"/>
              <w:jc w:val="right"/>
            </w:pPr>
            <w:r>
              <w:rPr>
                <w:rFonts w:ascii="Palatino Linotype" w:hAnsi="Palatino Linotype"/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</m:t>
              </m:r>
            </m:oMath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sz w:val="18"/>
              </w:rPr>
              <w:t xml:space="preserve">APF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sz w:val="18"/>
              </w:rPr>
              <w:t xml:space="preserve">Reactive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3.0</m:t>
              </m:r>
            </m:oMath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sz w:val="18"/>
              </w:rPr>
              <w:t xml:space="preserve">Every step (gradient)</w:t>
            </w:r>
          </w:p>
        </w:tc>
        <w:tc>
          <w:tcPr/>
          <w:p>
            <w:pPr>
              <w:pStyle w:val="Compact"/>
              <w:spacing w:after="40" w:before="40"/>
              <w:jc w:val="right"/>
            </w:pPr>
            <w:r>
              <w:rPr>
                <w:rFonts w:ascii="Palatino Linotype" w:hAnsi="Palatino Linotype"/>
                <w:sz w:val="18"/>
              </w:rPr>
              <w:t xml:space="preserve">33.7</w:t>
            </w:r>
          </w:p>
        </w:tc>
        <w:tc>
          <w:tcPr/>
          <w:p>
            <w:pPr>
              <w:pStyle w:val="Compact"/>
              <w:spacing w:after="40" w:before="40"/>
              <w:jc w:val="right"/>
            </w:pPr>
            <w:r>
              <w:rPr>
                <w:rFonts w:ascii="Palatino Linotype" w:hAnsi="Palatino Linotype"/>
                <w:sz w:val="18"/>
              </w:rPr>
              <w:t xml:space="preserve">0.57</w:t>
            </w:r>
          </w:p>
        </w:tc>
        <w:tc>
          <w:tcPr/>
          <w:p>
            <w:pPr>
              <w:pStyle w:val="Compact"/>
              <w:spacing w:after="40" w:before="40"/>
              <w:jc w:val="right"/>
            </w:pPr>
            <w:r>
              <w:rPr>
                <w:rFonts w:ascii="Palatino Linotype" w:hAnsi="Palatino Linotype"/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spacing w:after="40" w:before="40"/>
              <w:jc w:val="right"/>
            </w:pPr>
            <w:r>
              <w:rPr>
                <w:rFonts w:ascii="Palatino Linotype" w:hAnsi="Palatino Linotype"/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</m:oMath>
          </w:p>
        </w:tc>
      </w:tr>
    </w:tbl>
    <w:bookmarkEnd w:id="30"/>
    <w:bookmarkEnd w:id="31"/>
    <w:bookmarkStart w:id="36" w:name="sec:missions"/>
    <w:p>
      <w:pPr>
        <w:pStyle w:val="Heading2"/>
      </w:pPr>
      <w:r>
        <w:rPr>
          <w:rStyle w:val="SectionNumber"/>
          <w:rFonts w:ascii="Palatino Linotype" w:hAnsi="Palatino Linotype"/>
        </w:rPr>
        <w:t xml:space="preserve">2.5</w:t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 xml:space="preserve">Mission Scoring</w:t>
      </w:r>
    </w:p>
    <w:p>
      <w:pPr>
        <w:pStyle w:val="FirstParagraph"/>
        <w:jc w:val="both"/>
      </w:pPr>
      <w:r>
        <w:rPr>
          <w:rFonts w:ascii="Palatino Linotype" w:hAnsi="Palatino Linotype"/>
          <w:sz w:val="20"/>
        </w:rPr>
        <w:t xml:space="preserve">Standard benchmarks count successes. FLARE measures the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i/>
          <w:iCs/>
          <w:sz w:val="20"/>
        </w:rPr>
        <w:t xml:space="preserve">value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of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each success by defining a mission score</w:t>
      </w:r>
      <w:r>
        <w:rPr>
          <w:rFonts w:ascii="Palatino Linotype" w:hAnsi="Palatino Linotype"/>
          <w:sz w:val="20"/>
        </w:rPr>
        <w:t xml:space="preserve"> </w:t>
      </w:r>
      <m:oMath>
        <m:r>
          <m:t>M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that is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i/>
          <w:iCs/>
          <w:sz w:val="20"/>
        </w:rPr>
        <w:t xml:space="preserve">strictly decreasing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in delivery time 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(Figure 5). Three mission types specialise this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framework:</w:t>
      </w:r>
    </w:p>
    <w:p>
      <w:pPr>
        <w:pStyle w:val="BodyText"/>
        <w:jc w:val="both"/>
      </w:pPr>
      <w:r>
        <w:rPr>
          <w:rFonts w:ascii="Palatino Linotype" w:hAnsi="Palatino Linotype"/>
          <w:b/>
          <w:bCs/>
          <w:sz w:val="20"/>
        </w:rPr>
        <w:t xml:space="preserve">Pharma delivery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(Penteli): medication efficacy decays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quadratically,</w:t>
      </w:r>
      <w:r>
        <w:rPr>
          <w:rFonts w:ascii="Palatino Linotype" w:hAnsi="Palatino Linotype"/>
          <w:sz w:val="20"/>
        </w:rPr>
        <w:t xml:space="preserve"> </w:t>
      </w:r>
      <m:oMath>
        <m:r>
          <m:t>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/</m:t>
        </m:r>
        <m:r>
          <m:t>T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ascii="Palatino Linotype" w:hAnsi="Palatino Linotype"/>
          <w:sz w:val="20"/>
        </w:rPr>
        <w:t xml:space="preserve">,</w:t>
      </w:r>
      <w:r>
        <w:rPr>
          <w:rFonts w:ascii="Palatino Linotype" w:hAnsi="Palatino Linotype"/>
          <w:sz w:val="20"/>
        </w:rP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ascii="Palatino Linotype" w:hAnsi="Palatino Linotype"/>
          <w:sz w:val="20"/>
        </w:rPr>
        <w:t xml:space="preserve">.</w:t>
      </w:r>
    </w:p>
    <w:p>
      <w:pPr>
        <w:pStyle w:val="BodyText"/>
        <w:jc w:val="both"/>
      </w:pPr>
      <w:r>
        <w:rPr>
          <w:rFonts w:ascii="Palatino Linotype" w:hAnsi="Palatino Linotype"/>
          <w:b/>
          <w:bCs/>
          <w:sz w:val="20"/>
        </w:rPr>
        <w:t xml:space="preserve">Urban rescue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(Piraeus): casualty survival decays exponentially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with fire-coupled amplification:</w:t>
      </w:r>
    </w:p>
    <w:p>
      <w:pPr>
        <w:pStyle w:val="BodyText"/>
        <w:jc w:val="bot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nor/>
                      <m:sty m:val="p"/>
                    </m:rPr>
                    <m:t>eff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t</m:t>
              </m:r>
            </m:e>
          </m:d>
          <m:r>
            <m:rPr>
              <m:sty m:val="p"/>
            </m:rPr>
            <m:t>,</m:t>
          </m:r>
          <m:r>
            <m:t> </m:t>
          </m:r>
          <m:r>
            <m:t> </m:t>
          </m:r>
          <m:sSub>
            <m:e>
              <m:r>
                <m:t>λ</m:t>
              </m:r>
            </m:e>
            <m:sub>
              <m:r>
                <m:rPr>
                  <m:nor/>
                  <m:sty m:val="p"/>
                </m:rPr>
                <m:t>eff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κ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fire</m:t>
                  </m:r>
                </m:sub>
              </m:sSub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  <w:jc w:val="both"/>
      </w:pPr>
      <w:r>
        <w:rPr>
          <w:rFonts w:ascii="Palatino Linotype" w:hAnsi="Palatino Linotype"/>
          <w:sz w:val="20"/>
        </w:rPr>
        <w:t xml:space="preserve">where</w:t>
      </w:r>
      <w:r>
        <w:rPr>
          <w:rFonts w:ascii="Palatino Linotype" w:hAnsi="Palatino Linotype"/>
          <w:sz w:val="20"/>
        </w:rP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</m:oMath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is the base decay rate and</w:t>
      </w:r>
      <w:r>
        <w:rPr>
          <w:rFonts w:ascii="Palatino Linotype" w:hAnsi="Palatino Linotype"/>
          <w:sz w:val="20"/>
        </w:rPr>
        <w:t xml:space="preserve"> </w:t>
      </w:r>
      <m:oMath>
        <m:r>
          <m:t>κ</m:t>
        </m:r>
        <m:r>
          <m:rPr>
            <m:sty m:val="p"/>
          </m:rPr>
          <m:t>=</m:t>
        </m:r>
        <m:r>
          <m:t>5.0</m:t>
        </m:r>
      </m:oMath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is the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fire-coupling constant. Casualties near active fire expire faster, explicitly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rewarding planners willing to enter dangerous zones.</w:t>
      </w:r>
    </w:p>
    <w:p>
      <w:pPr>
        <w:pStyle w:val="BodyText"/>
        <w:jc w:val="both"/>
      </w:pPr>
      <w:r>
        <w:rPr>
          <w:rFonts w:ascii="Palatino Linotype" w:hAnsi="Palatino Linotype"/>
          <w:b/>
          <w:bCs/>
          <w:sz w:val="20"/>
        </w:rPr>
        <w:t xml:space="preserve">Fire surveillance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(Downtown): data freshness decays linearly,</w:t>
      </w:r>
      <w:r>
        <w:rPr>
          <w:rFonts w:ascii="Palatino Linotype" w:hAnsi="Palatino Linotype"/>
          <w:sz w:val="20"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/</m:t>
        </m:r>
        <m:r>
          <m:t>T</m:t>
        </m:r>
      </m:oMath>
      <w:r>
        <w:rPr>
          <w:rFonts w:ascii="Palatino Linotype" w:hAnsi="Palatino Linotype"/>
          <w:sz w:val="20"/>
        </w:rPr>
        <w:t xml:space="preserve">. A fire perimeter map becomes stale as the front advances.</w:t>
      </w:r>
    </w:p>
    <w:p>
      <w:pPr>
        <w:pStyle w:val="BodyText"/>
        <w:jc w:val="both"/>
      </w:pPr>
      <w:r>
        <w:rPr>
          <w:rFonts w:ascii="Palatino Linotype" w:hAnsi="Palatino Linotype"/>
          <w:b/>
          <w:bCs/>
          <w:sz w:val="20"/>
        </w:rPr>
        <w:t xml:space="preserve">Key property.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All three functions share one characteristic: they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are strictly decreasing in </w:t>
      </w:r>
      <m:oMath>
        <m:r>
          <m:t>t</m:t>
        </m:r>
      </m:oMath>
      <w:r>
        <w:rPr>
          <w:rFonts w:ascii="Palatino Linotype" w:hAnsi="Palatino Linotype"/>
          <w:sz w:val="20"/>
        </w:rPr>
        <w:t xml:space="preserve">. Every additional step of detour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i/>
          <w:iCs/>
          <w:sz w:val="20"/>
        </w:rPr>
        <w:t xml:space="preserve">destroys mission value</w:t>
      </w:r>
      <w:r>
        <w:rPr>
          <w:rFonts w:ascii="Palatino Linotype" w:hAnsi="Palatino Linotype"/>
          <w:sz w:val="20"/>
        </w:rPr>
        <w:t xml:space="preserve">. Cross-scenario comparison uses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per-scenario normalisation (divide by scenario max, then average).</w:t>
      </w:r>
    </w:p>
    <w:bookmarkStart w:id="35" w:name="fig:missiondecay"/>
    <w:p>
      <w:pPr>
        <w:pStyle w:val="CaptionedFigure"/>
      </w:pPr>
      <w:r>
        <w:drawing>
          <wp:inline>
            <wp:extent cx="2908300" cy="38735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../figures/mission_score_decomposition.pdf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300" cy="387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Why speed matters. All three mission scores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decay with</w:t>
      </w:r>
      <w:r>
        <w:t xml:space="preserve"> </w:t>
      </w:r>
      <w:r>
        <w:t xml:space="preserve">delivery time. The shaded gap between Aggressive (low </w:t>
      </w:r>
      <m:oMath>
        <m:r>
          <m:t>t</m:t>
        </m:r>
      </m:oMath>
      <w:r>
        <w:t xml:space="preserve">) and Periodic</w:t>
      </w:r>
      <w:r>
        <w:t xml:space="preserve"> </w:t>
      </w:r>
      <w:r>
        <w:t xml:space="preserve">(high </w:t>
      </w:r>
      <m:oMath>
        <m:r>
          <m:t>t</m:t>
        </m:r>
      </m:oMath>
      <w:r>
        <w:t xml:space="preserve">) quantifies the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cost of a risk-averse detour.</w:t>
      </w:r>
    </w:p>
    <w:bookmarkEnd w:id="35"/>
    <w:bookmarkEnd w:id="36"/>
    <w:bookmarkStart w:id="37" w:name="sec:coupling"/>
    <w:p>
      <w:pPr>
        <w:pStyle w:val="Heading2"/>
      </w:pPr>
      <w:r>
        <w:rPr>
          <w:rStyle w:val="SectionNumber"/>
          <w:rFonts w:ascii="Palatino Linotype" w:hAnsi="Palatino Linotype"/>
        </w:rPr>
        <w:t xml:space="preserve">2.6</w:t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 xml:space="preserve">Risk–Time–Mission Coupling</w:t>
      </w:r>
    </w:p>
    <w:p>
      <w:pPr>
        <w:pStyle w:val="FirstParagraph"/>
        <w:jc w:val="both"/>
      </w:pPr>
      <w:r>
        <w:rPr>
          <w:rFonts w:ascii="Palatino Linotype" w:hAnsi="Palatino Linotype"/>
          <w:sz w:val="20"/>
        </w:rPr>
        <w:t xml:space="preserve">The link between risk aversion and mission failure is now explicit.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Increasing </w:t>
      </w:r>
      <m:oMath>
        <m:r>
          <m:t>ρ</m:t>
        </m:r>
      </m:oMath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produces safer paths with higher survival probability but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longer travel time </w:t>
      </w:r>
      <m:oMath>
        <m:r>
          <m:t>t</m:t>
        </m:r>
      </m:oMath>
      <w:r>
        <w:rPr>
          <w:rFonts w:ascii="Palatino Linotype" w:hAnsi="Palatino Linotype"/>
          <w:sz w:val="20"/>
        </w:rPr>
        <w:t xml:space="preserve">. Because every mission score</w:t>
      </w:r>
      <w:r>
        <w:rPr>
          <w:rFonts w:ascii="Palatino Linotype" w:hAnsi="Palatino Linotype"/>
          <w:sz w:val="20"/>
        </w:rPr>
        <w:t xml:space="preserve"> </w:t>
      </w:r>
      <m:oMath>
        <m:r>
          <m:t>M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is strictly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decreasing in </w:t>
      </w:r>
      <m:oMath>
        <m:r>
          <m:t>t</m:t>
        </m:r>
      </m:oMath>
      <w:r>
        <w:rPr>
          <w:rFonts w:ascii="Palatino Linotype" w:hAnsi="Palatino Linotype"/>
          <w:sz w:val="20"/>
        </w:rPr>
        <w:t xml:space="preserve">, the additional travel time directly reduces mission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value. This creates a fundamental trade-off:</w:t>
      </w:r>
    </w:p>
    <w:p>
      <w:pPr>
        <w:pStyle w:val="BodyText"/>
        <w:jc w:val="both"/>
      </w:pPr>
      <m:oMathPara>
        <m:oMathParaPr>
          <m:jc m:val="center"/>
        </m:oMathParaPr>
        <m:oMath>
          <m:limLow>
            <m:e>
              <m:limLow>
                <m:e>
                  <m:r>
                    <m:t>ρ</m:t>
                  </m:r>
                  <m:r>
                    <m:t> </m:t>
                  </m:r>
                  <m:r>
                    <m:rPr>
                      <m:sty m:val="p"/>
                    </m:rPr>
                    <m:t>↑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more risk-averse</m:t>
              </m:r>
            </m:lim>
          </m:limLow>
          <m:r>
            <m:t> 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t> </m:t>
          </m:r>
          <m:limLow>
            <m:e>
              <m:limLow>
                <m:e>
                  <m:r>
                    <m:t>t</m:t>
                  </m:r>
                  <m:r>
                    <m:t> </m:t>
                  </m:r>
                  <m:r>
                    <m:rPr>
                      <m:sty m:val="p"/>
                    </m:rPr>
                    <m:t>↑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longer detour</m:t>
              </m:r>
            </m:lim>
          </m:limLow>
          <m:r>
            <m:t> 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t> </m:t>
          </m:r>
          <m:limLow>
            <m:e>
              <m:limLow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 </m:t>
                  </m:r>
                  <m:r>
                    <m:rPr>
                      <m:sty m:val="p"/>
                    </m:rPr>
                    <m:t>↓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worse mission outcome</m:t>
              </m:r>
            </m:lim>
          </m:limLow>
        </m:oMath>
      </m:oMathPara>
    </w:p>
    <w:p>
      <w:pPr>
        <w:pStyle w:val="FirstParagraph"/>
        <w:jc w:val="both"/>
      </w:pPr>
      <w:r>
        <w:rPr>
          <w:rFonts w:ascii="Palatino Linotype" w:hAnsi="Palatino Linotype"/>
          <w:sz w:val="20"/>
        </w:rPr>
        <w:t xml:space="preserve">This coupling is the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i/>
          <w:iCs/>
          <w:sz w:val="20"/>
        </w:rPr>
        <w:t xml:space="preserve">mechanism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behind the ranking inversion: the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planner with the highest survival probability is penalised not by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hazards but by the delivery time its detours impose—an inevitable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consequence of any strictly time-decreasing objective.</w:t>
      </w:r>
    </w:p>
    <w:bookmarkEnd w:id="37"/>
    <w:bookmarkStart w:id="39" w:name="sec:scenarios"/>
    <w:p>
      <w:pPr>
        <w:pStyle w:val="Heading2"/>
      </w:pPr>
      <w:r>
        <w:rPr>
          <w:rStyle w:val="SectionNumber"/>
          <w:rFonts w:ascii="Palatino Linotype" w:hAnsi="Palatino Linotype"/>
        </w:rPr>
        <w:t xml:space="preserve">2.7</w:t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 xml:space="preserve">Scenarios</w:t>
      </w:r>
    </w:p>
    <w:p>
      <w:pPr>
        <w:pStyle w:val="FirstParagraph"/>
        <w:jc w:val="both"/>
      </w:pPr>
      <w:r>
        <w:rPr>
          <w:rFonts w:ascii="Palatino Linotype" w:hAnsi="Palatino Linotype"/>
          <w:sz w:val="20"/>
        </w:rPr>
        <w:t xml:space="preserve">Each scenario is grounded in a real Greek wildfire event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(Table 2).</w:t>
      </w:r>
    </w:p>
    <w:p>
      <w:pPr>
        <w:numPr>
          <w:ilvl w:val="0"/>
          <w:numId w:val="1003"/>
        </w:numPr>
        <w:jc w:val="both"/>
      </w:pPr>
      <w:r>
        <w:rPr>
          <w:rFonts w:ascii="Palatino Linotype" w:hAnsi="Palatino Linotype"/>
          <w:b/>
          <w:bCs/>
          <w:sz w:val="20"/>
        </w:rPr>
        <w:t xml:space="preserve">Penteli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(Evia 2021): wind-driven fire in a wildland–urban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interface; the mission is insulin delivery before efficacy degrades.</w:t>
      </w:r>
    </w:p>
    <w:p>
      <w:pPr>
        <w:numPr>
          <w:ilvl w:val="0"/>
          <w:numId w:val="1003"/>
        </w:numPr>
        <w:jc w:val="both"/>
      </w:pPr>
      <w:r>
        <w:rPr>
          <w:rFonts w:ascii="Palatino Linotype" w:hAnsi="Palatino Linotype"/>
          <w:b/>
          <w:bCs/>
          <w:sz w:val="20"/>
        </w:rPr>
        <w:t xml:space="preserve">Piraeus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(Rhodes 2023): dense port with structural collapse;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three casualties with fire-coupled survival.</w:t>
      </w:r>
    </w:p>
    <w:p>
      <w:pPr>
        <w:numPr>
          <w:ilvl w:val="0"/>
          <w:numId w:val="1003"/>
        </w:numPr>
        <w:jc w:val="both"/>
      </w:pPr>
      <w:r>
        <w:rPr>
          <w:rFonts w:ascii="Palatino Linotype" w:hAnsi="Palatino Linotype"/>
          <w:b/>
          <w:bCs/>
          <w:sz w:val="20"/>
        </w:rPr>
        <w:t xml:space="preserve">Downtown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(Evros 2023): extreme building density (0.50) with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NFZ corridors for manned aircraft.</w:t>
      </w:r>
    </w:p>
    <w:bookmarkStart w:id="38" w:name="tab:scenario_overview"/>
    <w:p>
      <w:pPr>
        <w:pStyle w:val="TableCaption"/>
      </w:pPr>
      <w:r>
        <w:t xml:space="preserve">Scenario overview. Three OSM-based scenarios grounded in real Greek wildfires.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Caption w:val="Scenario overview. Three OSM-based scenarios grounded in real Greek wildfires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after="40" w:before="40"/>
            </w:pP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Palatino Linotype" w:hAnsi="Palatino Linotype"/>
                <w:b/>
                <w:bCs/>
                <w:sz w:val="18"/>
              </w:rPr>
              <w:t xml:space="preserve">Penteli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Palatino Linotype" w:hAnsi="Palatino Linotype"/>
                <w:b/>
                <w:bCs/>
                <w:sz w:val="18"/>
              </w:rPr>
              <w:t xml:space="preserve">Piraeus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Palatino Linotype" w:hAnsi="Palatino Linotype"/>
                <w:b/>
                <w:bCs/>
                <w:sz w:val="18"/>
              </w:rPr>
              <w:t xml:space="preserve">Downtown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sz w:val="18"/>
              </w:rPr>
              <w:t xml:space="preserve">Real incident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Palatino Linotype" w:hAnsi="Palatino Linotype"/>
                <w:sz w:val="18"/>
              </w:rPr>
              <w:t xml:space="preserve">Evia 2021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Palatino Linotype" w:hAnsi="Palatino Linotype"/>
                <w:sz w:val="18"/>
              </w:rPr>
              <w:t xml:space="preserve">Rhodes 2023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Palatino Linotype" w:hAnsi="Palatino Linotype"/>
                <w:sz w:val="18"/>
              </w:rPr>
              <w:t xml:space="preserve">Evros 2023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sz w:val="18"/>
              </w:rPr>
              <w:t xml:space="preserve">Mission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Palatino Linotype" w:hAnsi="Palatino Linotype"/>
                <w:sz w:val="18"/>
              </w:rPr>
              <w:t xml:space="preserve">Insulin delivery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Palatino Linotype" w:hAnsi="Palatino Linotype"/>
                <w:sz w:val="18"/>
              </w:rPr>
              <w:t xml:space="preserve">Search &amp; rescue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Palatino Linotype" w:hAnsi="Palatino Linotype"/>
                <w:sz w:val="18"/>
              </w:rPr>
              <w:t xml:space="preserve">Fire perimeter survey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sz w:val="18"/>
              </w:rPr>
              <w:t xml:space="preserve">Service time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Palatino Linotype" w:hAnsi="Palatino Linotype"/>
                <w:sz w:val="18"/>
              </w:rPr>
              <w:t xml:space="preserve">0 (fly-through)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Palatino Linotype" w:hAnsi="Palatino Linotype"/>
                <w:sz w:val="18"/>
              </w:rPr>
              <w:t xml:space="preserve">2 steps (hover)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Palatino Linotype" w:hAnsi="Palatino Linotype"/>
                <w:sz w:val="18"/>
              </w:rPr>
              <w:t xml:space="preserve">3 steps (hover)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sz w:val="18"/>
              </w:rPr>
              <w:t xml:space="preserve">Score decay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Palatino Linotype" w:hAnsi="Palatino Linotype"/>
                <w:sz w:val="18"/>
              </w:rPr>
              <w:t xml:space="preserve">Quadratic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Palatino Linotype" w:hAnsi="Palatino Linotype"/>
                <w:sz w:val="18"/>
              </w:rPr>
              <w:t xml:space="preserve">Exponential + fire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Palatino Linotype" w:hAnsi="Palatino Linotype"/>
                <w:sz w:val="18"/>
              </w:rPr>
              <w:t xml:space="preserve">Linear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sz w:val="18"/>
              </w:rPr>
              <w:t xml:space="preserve">Map density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Palatino Linotype" w:hAnsi="Palatino Linotype"/>
                <w:sz w:val="18"/>
              </w:rPr>
              <w:t xml:space="preserve">0.18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Palatino Linotype" w:hAnsi="Palatino Linotype"/>
                <w:sz w:val="18"/>
              </w:rPr>
              <w:t xml:space="preserve">0.29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Palatino Linotype" w:hAnsi="Palatino Linotype"/>
                <w:sz w:val="18"/>
              </w:rPr>
              <w:t xml:space="preserve">0.50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sz w:val="18"/>
              </w:rPr>
              <w:t xml:space="preserve">Fire ignitions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Palatino Linotype" w:hAnsi="Palatino Linotype"/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Palatino Linotype" w:hAnsi="Palatino Linotype"/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Palatino Linotype" w:hAnsi="Palatino Linotype"/>
                <w:sz w:val="18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sz w:val="18"/>
              </w:rPr>
              <w:t xml:space="preserve">Vehicles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Palatino Linotype" w:hAnsi="Palatino Linotype"/>
                <w:sz w:val="18"/>
              </w:rPr>
              <w:t xml:space="preserve">8 road + 2 patrol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Palatino Linotype" w:hAnsi="Palatino Linotype"/>
                <w:sz w:val="18"/>
              </w:rPr>
              <w:t xml:space="preserve">8 road + 2 patrol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Palatino Linotype" w:hAnsi="Palatino Linotype"/>
                <w:sz w:val="18"/>
              </w:rPr>
              <w:t xml:space="preserve">8 road + 2 patrol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sz w:val="18"/>
              </w:rPr>
              <w:t xml:space="preserve">NFZ zones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Palatino Linotype" w:hAnsi="Palatino Linotype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Palatino Linotype" w:hAnsi="Palatino Linotype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Palatino Linotype" w:hAnsi="Palatino Linotype"/>
                <w:sz w:val="18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sz w:val="18"/>
              </w:rPr>
              <w:t xml:space="preserve">Infeasible seeds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Palatino Linotype" w:hAnsi="Palatino Linotype"/>
                <w:sz w:val="18"/>
              </w:rPr>
              <w:t xml:space="preserve">0/30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Palatino Linotype" w:hAnsi="Palatino Linotype"/>
                <w:sz w:val="18"/>
              </w:rPr>
              <w:t xml:space="preserve">3/30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Palatino Linotype" w:hAnsi="Palatino Linotype"/>
                <w:sz w:val="18"/>
              </w:rPr>
              <w:t xml:space="preserve">4/30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sz w:val="18"/>
              </w:rPr>
              <w:t xml:space="preserve">Key challenge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Palatino Linotype" w:hAnsi="Palatino Linotype"/>
                <w:sz w:val="18"/>
              </w:rPr>
              <w:t xml:space="preserve">Wind-driven fire sweeps WUI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Palatino Linotype" w:hAnsi="Palatino Linotype"/>
                <w:sz w:val="18"/>
              </w:rPr>
              <w:t xml:space="preserve">Collapse + road closures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rFonts w:ascii="Palatino Linotype" w:hAnsi="Palatino Linotype"/>
                <w:sz w:val="18"/>
              </w:rPr>
              <w:t xml:space="preserve">Extreme density + NFZ</w:t>
            </w:r>
          </w:p>
        </w:tc>
      </w:tr>
    </w:tbl>
    <w:bookmarkEnd w:id="38"/>
    <w:bookmarkEnd w:id="39"/>
    <w:bookmarkStart w:id="40" w:name="sec:reproducibility"/>
    <w:p>
      <w:pPr>
        <w:pStyle w:val="Heading2"/>
      </w:pPr>
      <w:r>
        <w:rPr>
          <w:rStyle w:val="SectionNumber"/>
          <w:rFonts w:ascii="Palatino Linotype" w:hAnsi="Palatino Linotype"/>
        </w:rPr>
        <w:t xml:space="preserve">2.8</w:t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 xml:space="preserve">Reproducibility</w:t>
      </w:r>
    </w:p>
    <w:p>
      <w:pPr>
        <w:pStyle w:val="FirstParagraph"/>
        <w:jc w:val="both"/>
      </w:pPr>
      <w:r>
        <w:rPr>
          <w:rFonts w:ascii="Palatino Linotype" w:hAnsi="Palatino Linotype"/>
          <w:sz w:val="20"/>
        </w:rPr>
        <w:t xml:space="preserve">FLARE enforces 36 contracts across 15 families, verified by 189 automated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tests. Key guarantees: bit-identical replay from a single RNG seed (DC-1),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planner-agnostic corridor interdictions (FC-1), frozen hazard state during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planning (FD-3). Infeasible episodes are detected at reset and excluded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uniformly across all planners.</w:t>
      </w:r>
    </w:p>
    <w:bookmarkEnd w:id="40"/>
    <w:bookmarkEnd w:id="41"/>
    <w:bookmarkStart w:id="58" w:name="sec:results"/>
    <w:p>
      <w:pPr>
        <w:pStyle w:val="Heading1"/>
      </w:pPr>
      <w:r>
        <w:rPr>
          <w:rStyle w:val="SectionNumber"/>
          <w:rFonts w:ascii="Palatino Linotype" w:hAnsi="Palatino Linotype"/>
        </w:rPr>
        <w:t xml:space="preserve">3</w:t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 xml:space="preserve">Results</w:t>
      </w:r>
    </w:p>
    <w:bookmarkStart w:id="42" w:name="sec:setup"/>
    <w:p>
      <w:pPr>
        <w:pStyle w:val="Heading2"/>
      </w:pPr>
      <w:r>
        <w:rPr>
          <w:rStyle w:val="SectionNumber"/>
          <w:rFonts w:ascii="Palatino Linotype" w:hAnsi="Palatino Linotype"/>
        </w:rPr>
        <w:t xml:space="preserve">3.1</w:t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 xml:space="preserve">Experimental Setup</w:t>
      </w:r>
    </w:p>
    <w:p>
      <w:pPr>
        <w:pStyle w:val="FirstParagraph"/>
        <w:jc w:val="both"/>
      </w:pPr>
      <w:r>
        <w:rPr>
          <w:rFonts w:ascii="Palatino Linotype" w:hAnsi="Palatino Linotype"/>
          <w:sz w:val="20"/>
        </w:rPr>
        <w:t xml:space="preserve">Five planners</w:t>
      </w:r>
      <w:r>
        <w:rPr>
          <w:rFonts w:ascii="Palatino Linotype" w:hAnsi="Palatino Linotype"/>
          <w:sz w:val="20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three scenarios</w:t>
      </w:r>
      <w:r>
        <w:rPr>
          <w:rFonts w:ascii="Palatino Linotype" w:hAnsi="Palatino Linotype"/>
          <w:sz w:val="20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30 seeds yield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450 episodes; 7.8% are structurally infeasible and excluded. Statistics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follow Agarwal et al. </w:t>
      </w:r>
      <w:r>
        <w:rPr>
          <w:rFonts w:ascii="Palatino Linotype" w:hAnsi="Palatino Linotype"/>
          <w:sz w:val="20"/>
        </w:rPr>
        <w:t xml:space="preserve">: IQM with 95% bootstrap CIs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(10,000 resamples), Wilcoxon signed-rank with Bonferroni correction,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Cliff’s delta, and Friedman tests.</w:t>
      </w:r>
    </w:p>
    <w:bookmarkEnd w:id="42"/>
    <w:bookmarkStart w:id="44" w:name="sec:navperf"/>
    <w:p>
      <w:pPr>
        <w:pStyle w:val="Heading2"/>
      </w:pPr>
      <w:r>
        <w:rPr>
          <w:rStyle w:val="SectionNumber"/>
          <w:rFonts w:ascii="Palatino Linotype" w:hAnsi="Palatino Linotype"/>
        </w:rPr>
        <w:t xml:space="preserve">3.2</w:t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 xml:space="preserve">Navigation Performance</w:t>
      </w:r>
    </w:p>
    <w:p>
      <w:pPr>
        <w:pStyle w:val="FirstParagraph"/>
        <w:jc w:val="both"/>
      </w:pPr>
      <w:r>
        <w:rPr>
          <w:rFonts w:ascii="Palatino Linotype" w:hAnsi="Palatino Linotype"/>
          <w:sz w:val="20"/>
        </w:rPr>
        <w:t xml:space="preserve">A* never succeeds: corridor dynamic obstacles block the reference path before fire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even arrives—a consequence of ignoring risk entirely.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Among adaptive planners, Incremental A* leads (62.7% feasible SR),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followed by Periodic (55.4%), Aggressive (50.6%), and APF (33.7%).</w:t>
      </w:r>
    </w:p>
    <w:p>
      <w:pPr>
        <w:pStyle w:val="BodyText"/>
        <w:jc w:val="both"/>
      </w:pPr>
      <w:r>
        <w:rPr>
          <w:rFonts w:ascii="Palatino Linotype" w:hAnsi="Palatino Linotype"/>
          <w:sz w:val="18"/>
        </w:rPr>
        <w:t xml:space="preserve">Table 3 disaggregates by scenario with</w:t>
      </w:r>
      <w:r>
        <w:rPr>
          <w:rFonts w:ascii="Palatino Linotype" w:hAnsi="Palatino Linotype"/>
          <w:sz w:val="18"/>
        </w:rPr>
        <w:t xml:space="preserve"> </w:t>
      </w:r>
      <w:r>
        <w:rPr>
          <w:rFonts w:ascii="Palatino Linotype" w:hAnsi="Palatino Linotype"/>
          <w:sz w:val="18"/>
        </w:rPr>
        <w:t xml:space="preserve">mission-specific metrics and verdicts. Two patterns stand out:</w:t>
      </w:r>
      <w:r>
        <w:rPr>
          <w:rFonts w:ascii="Palatino Linotype" w:hAnsi="Palatino Linotype"/>
          <w:sz w:val="18"/>
        </w:rPr>
        <w:t xml:space="preserve"> </w:t>
      </w:r>
      <w:r>
        <w:rPr>
          <w:rFonts w:ascii="Palatino Linotype" w:hAnsi="Palatino Linotype"/>
          <w:sz w:val="18"/>
        </w:rPr>
        <w:t xml:space="preserve">(i) Piraeus yields the highest success rates (67–70%) because its dense</w:t>
      </w:r>
      <w:r>
        <w:rPr>
          <w:rFonts w:ascii="Palatino Linotype" w:hAnsi="Palatino Linotype"/>
          <w:sz w:val="18"/>
        </w:rPr>
        <w:t xml:space="preserve"> </w:t>
      </w:r>
      <w:r>
        <w:rPr>
          <w:rFonts w:ascii="Palatino Linotype" w:hAnsi="Palatino Linotype"/>
          <w:sz w:val="18"/>
        </w:rPr>
        <w:t xml:space="preserve">layout provides many alternative routes;</w:t>
      </w:r>
      <w:r>
        <w:rPr>
          <w:rFonts w:ascii="Palatino Linotype" w:hAnsi="Palatino Linotype"/>
          <w:sz w:val="18"/>
        </w:rPr>
        <w:t xml:space="preserve"> </w:t>
      </w:r>
      <w:r>
        <w:rPr>
          <w:rFonts w:ascii="Palatino Linotype" w:hAnsi="Palatino Linotype"/>
          <w:sz w:val="18"/>
        </w:rPr>
        <w:t xml:space="preserve">(ii) Downtown is hardest, with extreme density constraining detours.</w:t>
      </w:r>
    </w:p>
    <w:bookmarkStart w:id="43" w:name="tab:mission_scorecard"/>
    <w:p>
      <w:pPr>
        <w:pStyle w:val="TableCaption"/>
      </w:pPr>
      <w:r>
        <w:t xml:space="preserve">Mission scorecard. Per-scenario results with mission-specific metrics.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marks the best mission score per scenario.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marks the best</w:t>
      </w:r>
      <w:r>
        <w:t xml:space="preserve"> </w:t>
      </w:r>
      <w:r>
        <w:t xml:space="preserve">success rate. Note that they land on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planners—the paper’s</w:t>
      </w:r>
      <w:r>
        <w:t xml:space="preserve"> </w:t>
      </w:r>
      <w:r>
        <w:t xml:space="preserve">central finding.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Caption w:val="Mission scorecard. Per-scenario results with mission-specific metrics. \star marks the best mission score per scenario. Bold marks the best success rate. Note that they land on different planners—the paper’s central finding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b/>
                <w:bCs/>
                <w:sz w:val="18"/>
              </w:rPr>
              <w:t xml:space="preserve">Planner</w:t>
            </w:r>
          </w:p>
        </w:tc>
        <w:tc>
          <w:tcPr/>
          <w:p>
            <w:pPr>
              <w:pStyle w:val="Compact"/>
              <w:spacing w:after="40" w:before="40"/>
              <w:jc w:val="right"/>
            </w:pPr>
            <w:r>
              <w:rPr>
                <w:rFonts w:ascii="Palatino Linotype" w:hAnsi="Palatino Linotype"/>
                <w:b/>
                <w:bCs/>
                <w:sz w:val="18"/>
              </w:rPr>
              <w:t xml:space="preserve">SR%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b/>
                <w:bCs/>
                <w:sz w:val="18"/>
              </w:rPr>
              <w:t xml:space="preserve">Delivery Step</w:t>
            </w:r>
          </w:p>
        </w:tc>
        <w:tc>
          <w:tcPr/>
          <w:p>
            <w:pPr>
              <w:pStyle w:val="Compact"/>
              <w:spacing w:after="40" w:before="40"/>
              <w:jc w:val="right"/>
            </w:pPr>
            <w:r>
              <w:rPr>
                <w:rFonts w:ascii="Palatino Linotype" w:hAnsi="Palatino Linotype"/>
                <w:b/>
                <w:bCs/>
                <w:sz w:val="18"/>
              </w:rPr>
              <w:t xml:space="preserve">Mission Metric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b/>
                <w:bCs/>
                <w:sz w:val="18"/>
              </w:rPr>
              <w:t xml:space="preserve">Verdict</w:t>
            </w:r>
          </w:p>
        </w:tc>
      </w:tr>
      <w:tr>
        <w:tc>
          <w:tcPr>
            <w:gridSpan w:val="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b/>
                <w:bCs/>
                <w:sz w:val="18"/>
              </w:rPr>
              <w:t xml:space="preserve">Penteli — Insulin delivery to fire-isolated village (Evia 2021)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sz w:val="18"/>
              </w:rPr>
              <w:t xml:space="preserve">A*</w:t>
            </w:r>
          </w:p>
        </w:tc>
        <w:tc>
          <w:tcPr/>
          <w:p>
            <w:pPr>
              <w:pStyle w:val="Compact"/>
              <w:spacing w:after="40" w:before="40"/>
              <w:jc w:val="right"/>
            </w:pPr>
            <w:r>
              <w:rPr>
                <w:rFonts w:ascii="Palatino Linotype" w:hAnsi="Palatino Linotype"/>
                <w:sz w:val="18"/>
              </w:rPr>
              <w:t xml:space="preserve">0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sz w:val="18"/>
              </w:rPr>
              <w:t xml:space="preserve">timeout</w:t>
            </w:r>
          </w:p>
        </w:tc>
        <w:tc>
          <w:tcPr/>
          <w:p>
            <w:pPr>
              <w:pStyle w:val="Compact"/>
              <w:spacing w:after="40" w:before="40"/>
              <w:jc w:val="right"/>
            </w:pPr>
            <w:r>
              <w:rPr>
                <w:rFonts w:ascii="Palatino Linotype" w:hAnsi="Palatino Linotype"/>
                <w:sz w:val="18"/>
              </w:rPr>
              <w:t xml:space="preserve">0%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i/>
                <w:iCs/>
                <w:sz w:val="18"/>
              </w:rPr>
              <w:t xml:space="preserve">Walks straight into fire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sz w:val="18"/>
              </w:rPr>
              <w:t xml:space="preserve">Periodic</w:t>
            </w:r>
          </w:p>
        </w:tc>
        <w:tc>
          <w:tcPr/>
          <w:p>
            <w:pPr>
              <w:pStyle w:val="Compact"/>
              <w:spacing w:after="40" w:before="40"/>
              <w:jc w:val="right"/>
            </w:pPr>
            <w:r>
              <w:rPr>
                <w:rFonts w:ascii="Palatino Linotype" w:hAnsi="Palatino Linotype"/>
                <w:sz w:val="18"/>
              </w:rPr>
              <w:t xml:space="preserve">40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m:oMath>
              <m:r>
                <m:rPr>
                  <m:sty m:val="p"/>
                </m:rPr>
                <m:t>∼</m:t>
              </m:r>
            </m:oMath>
            <w:r>
              <w:rPr>
                <w:rFonts w:ascii="Palatino Linotype" w:hAnsi="Palatino Linotype"/>
                <w:sz w:val="18"/>
              </w:rPr>
              <w:t xml:space="preserve">514</w:t>
            </w:r>
          </w:p>
        </w:tc>
        <w:tc>
          <w:tcPr/>
          <w:p>
            <w:pPr>
              <w:pStyle w:val="Compact"/>
              <w:spacing w:after="40" w:before="40"/>
              <w:jc w:val="right"/>
            </w:pPr>
            <w:r>
              <w:rPr>
                <w:rFonts w:ascii="Palatino Linotype" w:hAnsi="Palatino Linotype"/>
                <w:sz w:val="18"/>
              </w:rPr>
              <w:t xml:space="preserve">59%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i/>
                <w:iCs/>
                <w:sz w:val="18"/>
              </w:rPr>
              <w:t xml:space="preserve">Safe detour, insulin degrades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sz w:val="18"/>
              </w:rPr>
              <w:t xml:space="preserve">Aggressive</w:t>
            </w:r>
          </w:p>
        </w:tc>
        <w:tc>
          <w:tcPr/>
          <w:p>
            <w:pPr>
              <w:pStyle w:val="Compact"/>
              <w:spacing w:after="40" w:before="40"/>
              <w:jc w:val="right"/>
            </w:pPr>
            <w:r>
              <w:rPr>
                <w:rFonts w:ascii="Palatino Linotype" w:hAnsi="Palatino Linotype"/>
                <w:sz w:val="18"/>
              </w:rPr>
              <w:t xml:space="preserve">33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m:oMath>
              <m:r>
                <m:rPr>
                  <m:sty m:val="p"/>
                </m:rPr>
                <m:t>∼</m:t>
              </m:r>
            </m:oMath>
            <w:r>
              <w:rPr>
                <w:rFonts w:ascii="Palatino Linotype" w:hAnsi="Palatino Linotype"/>
                <w:sz w:val="18"/>
              </w:rPr>
              <w:t xml:space="preserve">429</w:t>
            </w:r>
          </w:p>
        </w:tc>
        <w:tc>
          <w:tcPr/>
          <w:p>
            <w:pPr>
              <w:pStyle w:val="Compact"/>
              <w:spacing w:after="40" w:before="40"/>
              <w:jc w:val="right"/>
            </w:pPr>
            <w:r>
              <w:rPr>
                <w:rFonts w:ascii="Palatino Linotype" w:hAnsi="Palatino Linotype"/>
                <w:sz w:val="18"/>
              </w:rPr>
              <w:t xml:space="preserve">71%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i/>
                <w:iCs/>
                <w:sz w:val="18"/>
              </w:rPr>
              <w:t xml:space="preserve">Cuts through smoke, fast delivery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sz w:val="18"/>
              </w:rPr>
              <w:t xml:space="preserve">Incr. A*</w:t>
            </w:r>
          </w:p>
        </w:tc>
        <w:tc>
          <w:tcPr/>
          <w:p>
            <w:pPr>
              <w:pStyle w:val="Compact"/>
              <w:spacing w:after="40" w:before="40"/>
              <w:jc w:val="right"/>
            </w:pPr>
            <w:r>
              <w:rPr>
                <w:rFonts w:ascii="Palatino Linotype" w:hAnsi="Palatino Linotype"/>
                <w:b/>
                <w:bCs/>
                <w:sz w:val="18"/>
              </w:rPr>
              <w:t xml:space="preserve">53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m:oMath>
              <m:r>
                <m:rPr>
                  <m:sty m:val="p"/>
                </m:rPr>
                <m:t>∼</m:t>
              </m:r>
            </m:oMath>
            <w:r>
              <w:rPr>
                <w:rFonts w:ascii="Palatino Linotype" w:hAnsi="Palatino Linotype"/>
                <w:sz w:val="18"/>
              </w:rPr>
              <w:t xml:space="preserve">408</w:t>
            </w:r>
          </w:p>
        </w:tc>
        <w:tc>
          <w:tcPr/>
          <w:p>
            <w:pPr>
              <w:pStyle w:val="Compact"/>
              <w:spacing w:after="40" w:before="40"/>
              <w:jc w:val="right"/>
            </w:pPr>
            <m:oMath>
              <m:r>
                <m:rPr>
                  <m:sty m:val="p"/>
                </m:rPr>
                <m:t>⋆</m:t>
              </m:r>
            </m:oMath>
            <w:r>
              <w:rPr>
                <w:rFonts w:ascii="Palatino Linotype" w:hAnsi="Palatino Linotype"/>
                <w:sz w:val="18"/>
              </w:rPr>
              <w:t xml:space="preserve"> </w:t>
            </w:r>
            <w:r>
              <w:rPr>
                <w:rFonts w:ascii="Palatino Linotype" w:hAnsi="Palatino Linotype"/>
                <w:sz w:val="18"/>
              </w:rPr>
              <w:t xml:space="preserve">74%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i/>
                <w:iCs/>
                <w:sz w:val="18"/>
              </w:rPr>
              <w:t xml:space="preserve">Best navigator, delivers on time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sz w:val="18"/>
              </w:rPr>
              <w:t xml:space="preserve">APF</w:t>
            </w:r>
          </w:p>
        </w:tc>
        <w:tc>
          <w:tcPr/>
          <w:p>
            <w:pPr>
              <w:pStyle w:val="Compact"/>
              <w:spacing w:after="40" w:before="40"/>
              <w:jc w:val="right"/>
            </w:pPr>
            <w:r>
              <w:rPr>
                <w:rFonts w:ascii="Palatino Linotype" w:hAnsi="Palatino Linotype"/>
                <w:sz w:val="18"/>
              </w:rPr>
              <w:t xml:space="preserve">23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m:oMath>
              <m:r>
                <m:rPr>
                  <m:sty m:val="p"/>
                </m:rPr>
                <m:t>∼</m:t>
              </m:r>
            </m:oMath>
            <w:r>
              <w:rPr>
                <w:rFonts w:ascii="Palatino Linotype" w:hAnsi="Palatino Linotype"/>
                <w:sz w:val="18"/>
              </w:rPr>
              <w:t xml:space="preserve">412</w:t>
            </w:r>
          </w:p>
        </w:tc>
        <w:tc>
          <w:tcPr/>
          <w:p>
            <w:pPr>
              <w:pStyle w:val="Compact"/>
              <w:spacing w:after="40" w:before="40"/>
              <w:jc w:val="right"/>
            </w:pPr>
            <w:r>
              <w:rPr>
                <w:rFonts w:ascii="Palatino Linotype" w:hAnsi="Palatino Linotype"/>
                <w:sz w:val="18"/>
              </w:rPr>
              <w:t xml:space="preserve">73%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i/>
                <w:iCs/>
                <w:sz w:val="18"/>
              </w:rPr>
              <w:t xml:space="preserve">Repulsion traps waste time</w:t>
            </w:r>
          </w:p>
        </w:tc>
      </w:tr>
      <w:tr>
        <w:tc>
          <w:tcPr>
            <w:gridSpan w:val="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b/>
                <w:bCs/>
                <w:sz w:val="18"/>
              </w:rPr>
              <w:t xml:space="preserve">Piraeus — Urban rescue in port district (Rhodes 2023)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sz w:val="18"/>
              </w:rPr>
              <w:t xml:space="preserve">A*</w:t>
            </w:r>
          </w:p>
        </w:tc>
        <w:tc>
          <w:tcPr/>
          <w:p>
            <w:pPr>
              <w:pStyle w:val="Compact"/>
              <w:spacing w:after="40" w:before="40"/>
              <w:jc w:val="right"/>
            </w:pPr>
            <w:r>
              <w:rPr>
                <w:rFonts w:ascii="Palatino Linotype" w:hAnsi="Palatino Linotype"/>
                <w:sz w:val="18"/>
              </w:rPr>
              <w:t xml:space="preserve">0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sz w:val="18"/>
              </w:rPr>
              <w:t xml:space="preserve">timeout</w:t>
            </w:r>
          </w:p>
        </w:tc>
        <w:tc>
          <w:tcPr/>
          <w:p>
            <w:pPr>
              <w:pStyle w:val="Compact"/>
              <w:spacing w:after="40" w:before="40"/>
              <w:jc w:val="right"/>
            </w:pPr>
            <w:r>
              <w:rPr>
                <w:rFonts w:ascii="Palatino Linotype" w:hAnsi="Palatino Linotype"/>
                <w:sz w:val="18"/>
              </w:rPr>
              <w:t xml:space="preserve">0.00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i/>
                <w:iCs/>
                <w:sz w:val="18"/>
              </w:rPr>
              <w:t xml:space="preserve">Blocked by fire and collapse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sz w:val="18"/>
              </w:rPr>
              <w:t xml:space="preserve">Periodic</w:t>
            </w:r>
          </w:p>
        </w:tc>
        <w:tc>
          <w:tcPr/>
          <w:p>
            <w:pPr>
              <w:pStyle w:val="Compact"/>
              <w:spacing w:after="40" w:before="40"/>
              <w:jc w:val="right"/>
            </w:pPr>
            <w:r>
              <w:rPr>
                <w:rFonts w:ascii="Palatino Linotype" w:hAnsi="Palatino Linotype"/>
                <w:b/>
                <w:bCs/>
                <w:sz w:val="18"/>
              </w:rPr>
              <w:t xml:space="preserve">70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m:oMath>
              <m:r>
                <m:rPr>
                  <m:sty m:val="p"/>
                </m:rPr>
                <m:t>∼</m:t>
              </m:r>
            </m:oMath>
            <w:r>
              <w:rPr>
                <w:rFonts w:ascii="Palatino Linotype" w:hAnsi="Palatino Linotype"/>
                <w:sz w:val="18"/>
              </w:rPr>
              <w:t xml:space="preserve">477</w:t>
            </w:r>
          </w:p>
        </w:tc>
        <w:tc>
          <w:tcPr/>
          <w:p>
            <w:pPr>
              <w:pStyle w:val="Compact"/>
              <w:spacing w:after="40" w:before="40"/>
              <w:jc w:val="right"/>
            </w:pPr>
            <w:r>
              <w:rPr>
                <w:rFonts w:ascii="Palatino Linotype" w:hAnsi="Palatino Linotype"/>
                <w:sz w:val="18"/>
              </w:rPr>
              <w:t xml:space="preserve">2.78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i/>
                <w:iCs/>
                <w:sz w:val="18"/>
              </w:rPr>
              <w:t xml:space="preserve">Safe route, casualty deteriorates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sz w:val="18"/>
              </w:rPr>
              <w:t xml:space="preserve">Aggressive</w:t>
            </w:r>
          </w:p>
        </w:tc>
        <w:tc>
          <w:tcPr/>
          <w:p>
            <w:pPr>
              <w:pStyle w:val="Compact"/>
              <w:spacing w:after="40" w:before="40"/>
              <w:jc w:val="right"/>
            </w:pPr>
            <w:r>
              <w:rPr>
                <w:rFonts w:ascii="Palatino Linotype" w:hAnsi="Palatino Linotype"/>
                <w:sz w:val="18"/>
              </w:rPr>
              <w:t xml:space="preserve">67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m:oMath>
              <m:r>
                <m:rPr>
                  <m:sty m:val="p"/>
                </m:rPr>
                <m:t>∼</m:t>
              </m:r>
            </m:oMath>
            <w:r>
              <w:rPr>
                <w:rFonts w:ascii="Palatino Linotype" w:hAnsi="Palatino Linotype"/>
                <w:sz w:val="18"/>
              </w:rPr>
              <w:t xml:space="preserve">486</w:t>
            </w:r>
          </w:p>
        </w:tc>
        <w:tc>
          <w:tcPr/>
          <w:p>
            <w:pPr>
              <w:pStyle w:val="Compact"/>
              <w:spacing w:after="40" w:before="40"/>
              <w:jc w:val="right"/>
            </w:pPr>
            <m:oMath>
              <m:r>
                <m:rPr>
                  <m:sty m:val="p"/>
                </m:rPr>
                <m:t>⋆</m:t>
              </m:r>
            </m:oMath>
            <w:r>
              <w:rPr>
                <w:rFonts w:ascii="Palatino Linotype" w:hAnsi="Palatino Linotype"/>
                <w:sz w:val="18"/>
              </w:rPr>
              <w:t xml:space="preserve"> </w:t>
            </w:r>
            <w:r>
              <w:rPr>
                <w:rFonts w:ascii="Palatino Linotype" w:hAnsi="Palatino Linotype"/>
                <w:sz w:val="18"/>
              </w:rPr>
              <w:t xml:space="preserve">2.98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i/>
                <w:iCs/>
                <w:sz w:val="18"/>
              </w:rPr>
              <w:t xml:space="preserve">Reaches casualty before expiry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sz w:val="18"/>
              </w:rPr>
              <w:t xml:space="preserve">Incr. A*</w:t>
            </w:r>
          </w:p>
        </w:tc>
        <w:tc>
          <w:tcPr/>
          <w:p>
            <w:pPr>
              <w:pStyle w:val="Compact"/>
              <w:spacing w:after="40" w:before="40"/>
              <w:jc w:val="right"/>
            </w:pPr>
            <w:r>
              <w:rPr>
                <w:rFonts w:ascii="Palatino Linotype" w:hAnsi="Palatino Linotype"/>
                <w:sz w:val="18"/>
              </w:rPr>
              <w:t xml:space="preserve">67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m:oMath>
              <m:r>
                <m:rPr>
                  <m:sty m:val="p"/>
                </m:rPr>
                <m:t>∼</m:t>
              </m:r>
            </m:oMath>
            <w:r>
              <w:rPr>
                <w:rFonts w:ascii="Palatino Linotype" w:hAnsi="Palatino Linotype"/>
                <w:sz w:val="18"/>
              </w:rPr>
              <w:t xml:space="preserve">480</w:t>
            </w:r>
          </w:p>
        </w:tc>
        <w:tc>
          <w:tcPr/>
          <w:p>
            <w:pPr>
              <w:pStyle w:val="Compact"/>
              <w:spacing w:after="40" w:before="40"/>
              <w:jc w:val="right"/>
            </w:pPr>
            <w:r>
              <w:rPr>
                <w:rFonts w:ascii="Palatino Linotype" w:hAnsi="Palatino Linotype"/>
                <w:sz w:val="18"/>
              </w:rPr>
              <w:t xml:space="preserve">1.62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i/>
                <w:iCs/>
                <w:sz w:val="18"/>
              </w:rPr>
              <w:t xml:space="preserve">Good navigation, moderate rescue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sz w:val="18"/>
              </w:rPr>
              <w:t xml:space="preserve">APF</w:t>
            </w:r>
          </w:p>
        </w:tc>
        <w:tc>
          <w:tcPr/>
          <w:p>
            <w:pPr>
              <w:pStyle w:val="Compact"/>
              <w:spacing w:after="40" w:before="40"/>
              <w:jc w:val="right"/>
            </w:pPr>
            <w:r>
              <w:rPr>
                <w:rFonts w:ascii="Palatino Linotype" w:hAnsi="Palatino Linotype"/>
                <w:sz w:val="18"/>
              </w:rPr>
              <w:t xml:space="preserve">48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m:oMath>
              <m:r>
                <m:rPr>
                  <m:sty m:val="p"/>
                </m:rPr>
                <m:t>∼</m:t>
              </m:r>
            </m:oMath>
            <w:r>
              <w:rPr>
                <w:rFonts w:ascii="Palatino Linotype" w:hAnsi="Palatino Linotype"/>
                <w:sz w:val="18"/>
              </w:rPr>
              <w:t xml:space="preserve">392</w:t>
            </w:r>
          </w:p>
        </w:tc>
        <w:tc>
          <w:tcPr/>
          <w:p>
            <w:pPr>
              <w:pStyle w:val="Compact"/>
              <w:spacing w:after="40" w:before="40"/>
              <w:jc w:val="right"/>
            </w:pPr>
            <w:r>
              <w:rPr>
                <w:rFonts w:ascii="Palatino Linotype" w:hAnsi="Palatino Linotype"/>
                <w:sz w:val="18"/>
              </w:rPr>
              <w:t xml:space="preserve">1.82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i/>
                <w:iCs/>
                <w:sz w:val="18"/>
              </w:rPr>
              <w:t xml:space="preserve">Local minima delay rescue</w:t>
            </w:r>
          </w:p>
        </w:tc>
      </w:tr>
      <w:tr>
        <w:tc>
          <w:tcPr>
            <w:gridSpan w:val="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b/>
                <w:bCs/>
                <w:sz w:val="18"/>
              </w:rPr>
              <w:t xml:space="preserve">Downtown — Fire perimeter survey (Evros 2023)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sz w:val="18"/>
              </w:rPr>
              <w:t xml:space="preserve">A*</w:t>
            </w:r>
          </w:p>
        </w:tc>
        <w:tc>
          <w:tcPr/>
          <w:p>
            <w:pPr>
              <w:pStyle w:val="Compact"/>
              <w:spacing w:after="40" w:before="40"/>
              <w:jc w:val="right"/>
            </w:pPr>
            <w:r>
              <w:rPr>
                <w:rFonts w:ascii="Palatino Linotype" w:hAnsi="Palatino Linotype"/>
                <w:sz w:val="18"/>
              </w:rPr>
              <w:t xml:space="preserve">0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sz w:val="18"/>
              </w:rPr>
              <w:t xml:space="preserve">timeout</w:t>
            </w:r>
          </w:p>
        </w:tc>
        <w:tc>
          <w:tcPr/>
          <w:p>
            <w:pPr>
              <w:pStyle w:val="Compact"/>
              <w:spacing w:after="40" w:before="40"/>
              <w:jc w:val="right"/>
            </w:pPr>
            <w:r>
              <w:rPr>
                <w:rFonts w:ascii="Palatino Linotype" w:hAnsi="Palatino Linotype"/>
                <w:sz w:val="18"/>
              </w:rPr>
              <w:t xml:space="preserve">0%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i/>
                <w:iCs/>
                <w:sz w:val="18"/>
              </w:rPr>
              <w:t xml:space="preserve">Trapped in dense urban grid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sz w:val="18"/>
              </w:rPr>
              <w:t xml:space="preserve">Periodic</w:t>
            </w:r>
          </w:p>
        </w:tc>
        <w:tc>
          <w:tcPr/>
          <w:p>
            <w:pPr>
              <w:pStyle w:val="Compact"/>
              <w:spacing w:after="40" w:before="40"/>
              <w:jc w:val="right"/>
            </w:pPr>
            <w:r>
              <w:rPr>
                <w:rFonts w:ascii="Palatino Linotype" w:hAnsi="Palatino Linotype"/>
                <w:sz w:val="18"/>
              </w:rPr>
              <w:t xml:space="preserve">58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m:oMath>
              <m:r>
                <m:rPr>
                  <m:sty m:val="p"/>
                </m:rPr>
                <m:t>∼</m:t>
              </m:r>
            </m:oMath>
            <w:r>
              <w:rPr>
                <w:rFonts w:ascii="Palatino Linotype" w:hAnsi="Palatino Linotype"/>
                <w:sz w:val="18"/>
              </w:rPr>
              <w:t xml:space="preserve">599</w:t>
            </w:r>
          </w:p>
        </w:tc>
        <w:tc>
          <w:tcPr/>
          <w:p>
            <w:pPr>
              <w:pStyle w:val="Compact"/>
              <w:spacing w:after="40" w:before="40"/>
              <w:jc w:val="right"/>
            </w:pPr>
            <w:r>
              <w:rPr>
                <w:rFonts w:ascii="Palatino Linotype" w:hAnsi="Palatino Linotype"/>
                <w:sz w:val="18"/>
              </w:rPr>
              <w:t xml:space="preserve">25%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i/>
                <w:iCs/>
                <w:sz w:val="18"/>
              </w:rPr>
              <w:t xml:space="preserve">Cautious survey, data goes stale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sz w:val="18"/>
              </w:rPr>
              <w:t xml:space="preserve">Aggressive</w:t>
            </w:r>
          </w:p>
        </w:tc>
        <w:tc>
          <w:tcPr/>
          <w:p>
            <w:pPr>
              <w:pStyle w:val="Compact"/>
              <w:spacing w:after="40" w:before="40"/>
              <w:jc w:val="right"/>
            </w:pPr>
            <w:r>
              <w:rPr>
                <w:rFonts w:ascii="Palatino Linotype" w:hAnsi="Palatino Linotype"/>
                <w:sz w:val="18"/>
              </w:rPr>
              <w:t xml:space="preserve">54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m:oMath>
              <m:r>
                <m:rPr>
                  <m:sty m:val="p"/>
                </m:rPr>
                <m:t>∼</m:t>
              </m:r>
            </m:oMath>
            <w:r>
              <w:rPr>
                <w:rFonts w:ascii="Palatino Linotype" w:hAnsi="Palatino Linotype"/>
                <w:sz w:val="18"/>
              </w:rPr>
              <w:t xml:space="preserve">563</w:t>
            </w:r>
          </w:p>
        </w:tc>
        <w:tc>
          <w:tcPr/>
          <w:p>
            <w:pPr>
              <w:pStyle w:val="Compact"/>
              <w:spacing w:after="40" w:before="40"/>
              <w:jc w:val="right"/>
            </w:pPr>
            <w:r>
              <w:rPr>
                <w:rFonts w:ascii="Palatino Linotype" w:hAnsi="Palatino Linotype"/>
                <w:sz w:val="18"/>
              </w:rPr>
              <w:t xml:space="preserve">30%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i/>
                <w:iCs/>
                <w:sz w:val="18"/>
              </w:rPr>
              <w:t xml:space="preserve">Bold coverage, some risk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sz w:val="18"/>
              </w:rPr>
              <w:t xml:space="preserve">Incr. A*</w:t>
            </w:r>
          </w:p>
        </w:tc>
        <w:tc>
          <w:tcPr/>
          <w:p>
            <w:pPr>
              <w:pStyle w:val="Compact"/>
              <w:spacing w:after="40" w:before="40"/>
              <w:jc w:val="right"/>
            </w:pPr>
            <w:r>
              <w:rPr>
                <w:rFonts w:ascii="Palatino Linotype" w:hAnsi="Palatino Linotype"/>
                <w:b/>
                <w:bCs/>
                <w:sz w:val="18"/>
              </w:rPr>
              <w:t xml:space="preserve">69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m:oMath>
              <m:r>
                <m:rPr>
                  <m:sty m:val="p"/>
                </m:rPr>
                <m:t>∼</m:t>
              </m:r>
            </m:oMath>
            <w:r>
              <w:rPr>
                <w:rFonts w:ascii="Palatino Linotype" w:hAnsi="Palatino Linotype"/>
                <w:sz w:val="18"/>
              </w:rPr>
              <w:t xml:space="preserve">447</w:t>
            </w:r>
          </w:p>
        </w:tc>
        <w:tc>
          <w:tcPr/>
          <w:p>
            <w:pPr>
              <w:pStyle w:val="Compact"/>
              <w:spacing w:after="40" w:before="40"/>
              <w:jc w:val="right"/>
            </w:pPr>
            <m:oMath>
              <m:r>
                <m:rPr>
                  <m:sty m:val="p"/>
                </m:rPr>
                <m:t>⋆</m:t>
              </m:r>
            </m:oMath>
            <w:r>
              <w:rPr>
                <w:rFonts w:ascii="Palatino Linotype" w:hAnsi="Palatino Linotype"/>
                <w:sz w:val="18"/>
              </w:rPr>
              <w:t xml:space="preserve"> </w:t>
            </w:r>
            <w:r>
              <w:rPr>
                <w:rFonts w:ascii="Palatino Linotype" w:hAnsi="Palatino Linotype"/>
                <w:sz w:val="18"/>
              </w:rPr>
              <w:t xml:space="preserve">44%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i/>
                <w:iCs/>
                <w:sz w:val="18"/>
              </w:rPr>
              <w:t xml:space="preserve">Fresh survey, maximum value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sz w:val="18"/>
              </w:rPr>
              <w:t xml:space="preserve">APF</w:t>
            </w:r>
          </w:p>
        </w:tc>
        <w:tc>
          <w:tcPr/>
          <w:p>
            <w:pPr>
              <w:pStyle w:val="Compact"/>
              <w:spacing w:after="40" w:before="40"/>
              <w:jc w:val="right"/>
            </w:pPr>
            <w:r>
              <w:rPr>
                <w:rFonts w:ascii="Palatino Linotype" w:hAnsi="Palatino Linotype"/>
                <w:sz w:val="18"/>
              </w:rPr>
              <w:t xml:space="preserve">31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m:oMath>
              <m:r>
                <m:rPr>
                  <m:sty m:val="p"/>
                </m:rPr>
                <m:t>∼</m:t>
              </m:r>
            </m:oMath>
            <w:r>
              <w:rPr>
                <w:rFonts w:ascii="Palatino Linotype" w:hAnsi="Palatino Linotype"/>
                <w:sz w:val="18"/>
              </w:rPr>
              <w:t xml:space="preserve">588</w:t>
            </w:r>
          </w:p>
        </w:tc>
        <w:tc>
          <w:tcPr/>
          <w:p>
            <w:pPr>
              <w:pStyle w:val="Compact"/>
              <w:spacing w:after="40" w:before="40"/>
              <w:jc w:val="right"/>
            </w:pPr>
            <w:r>
              <w:rPr>
                <w:rFonts w:ascii="Palatino Linotype" w:hAnsi="Palatino Linotype"/>
                <w:sz w:val="18"/>
              </w:rPr>
              <w:t xml:space="preserve">26%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i/>
                <w:iCs/>
                <w:sz w:val="18"/>
              </w:rPr>
              <w:t xml:space="preserve">Reactive drift, slow coverage</w:t>
            </w:r>
          </w:p>
        </w:tc>
      </w:tr>
    </w:tbl>
    <w:bookmarkEnd w:id="43"/>
    <w:bookmarkEnd w:id="44"/>
    <w:bookmarkStart w:id="49" w:name="sec:ranking"/>
    <w:p>
      <w:pPr>
        <w:pStyle w:val="Heading2"/>
      </w:pPr>
      <w:r>
        <w:rPr>
          <w:rStyle w:val="SectionNumber"/>
          <w:rFonts w:ascii="Palatino Linotype" w:hAnsi="Palatino Linotype"/>
        </w:rPr>
        <w:t xml:space="preserve">3.3</w:t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 xml:space="preserve">The Ranking Inversion</w:t>
      </w:r>
    </w:p>
    <w:p>
      <w:pPr>
        <w:pStyle w:val="FirstParagraph"/>
        <w:jc w:val="both"/>
      </w:pPr>
      <w:r>
        <w:rPr>
          <w:rFonts w:ascii="Palatino Linotype" w:hAnsi="Palatino Linotype"/>
          <w:sz w:val="18"/>
        </w:rPr>
        <w:t xml:space="preserve">Table 1 contains the paper’s central result.</w:t>
      </w:r>
      <w:r>
        <w:rPr>
          <w:rFonts w:ascii="Palatino Linotype" w:hAnsi="Palatino Linotype"/>
          <w:sz w:val="18"/>
        </w:rPr>
        <w:t xml:space="preserve"> </w:t>
      </w:r>
      <w:r>
        <w:rPr>
          <w:rFonts w:ascii="Palatino Linotype" w:hAnsi="Palatino Linotype"/>
          <w:sz w:val="18"/>
        </w:rPr>
        <w:t xml:space="preserve">The</w:t>
      </w:r>
      <w:r>
        <w:rPr>
          <w:rFonts w:ascii="Palatino Linotype" w:hAnsi="Palatino Linotype"/>
          <w:sz w:val="18"/>
        </w:rPr>
        <w:t xml:space="preserve"> </w:t>
      </w:r>
      <m:oMath>
        <m:r>
          <m:rPr>
            <m:sty m:val="p"/>
          </m:rPr>
          <m:t>Δ</m:t>
        </m:r>
      </m:oMath>
      <w:r>
        <w:rPr>
          <w:rFonts w:ascii="Palatino Linotype" w:hAnsi="Palatino Linotype"/>
          <w:sz w:val="18"/>
        </w:rPr>
        <w:t xml:space="preserve"> Rank column (</w:t>
      </w:r>
      <m:oMath>
        <m:r>
          <m:rPr>
            <m:nor/>
            <m:sty m:val="p"/>
          </m:rPr>
          <m:t>Nav Rank</m:t>
        </m:r>
        <m:r>
          <m:rPr>
            <m:sty m:val="p"/>
          </m:rPr>
          <m:t>−</m:t>
        </m:r>
        <m:r>
          <m:rPr>
            <m:nor/>
            <m:sty m:val="p"/>
          </m:rPr>
          <m:t>Mission Rank</m:t>
        </m:r>
      </m:oMath>
      <w:r>
        <w:rPr>
          <w:rFonts w:ascii="Palatino Linotype" w:hAnsi="Palatino Linotype"/>
          <w:sz w:val="18"/>
        </w:rPr>
        <w:t xml:space="preserve">)</w:t>
      </w:r>
      <w:r>
        <w:rPr>
          <w:rFonts w:ascii="Palatino Linotype" w:hAnsi="Palatino Linotype"/>
          <w:sz w:val="18"/>
        </w:rPr>
        <w:t xml:space="preserve"> </w:t>
      </w:r>
      <w:r>
        <w:rPr>
          <w:rFonts w:ascii="Palatino Linotype" w:hAnsi="Palatino Linotype"/>
          <w:sz w:val="18"/>
        </w:rPr>
        <w:t xml:space="preserve">quantifies the discrepancy between navigation and rescue performance.</w:t>
      </w:r>
      <w:r>
        <w:rPr>
          <w:rFonts w:ascii="Palatino Linotype" w:hAnsi="Palatino Linotype"/>
          <w:sz w:val="18"/>
        </w:rPr>
        <w:t xml:space="preserve"> </w:t>
      </w:r>
      <w:r>
        <w:rPr>
          <w:rFonts w:ascii="Palatino Linotype" w:hAnsi="Palatino Linotype"/>
          <w:sz w:val="18"/>
        </w:rPr>
        <w:t xml:space="preserve">We define a</w:t>
      </w:r>
      <w:r>
        <w:rPr>
          <w:rFonts w:ascii="Palatino Linotype" w:hAnsi="Palatino Linotype"/>
          <w:sz w:val="18"/>
        </w:rPr>
        <w:t xml:space="preserve"> </w:t>
      </w:r>
      <w:r>
        <w:rPr>
          <w:rFonts w:ascii="Palatino Linotype" w:hAnsi="Palatino Linotype"/>
          <w:i/>
          <w:iCs/>
          <w:sz w:val="18"/>
        </w:rPr>
        <w:t xml:space="preserve">ranking inversion</w:t>
      </w:r>
      <w:r>
        <w:rPr>
          <w:rFonts w:ascii="Palatino Linotype" w:hAnsi="Palatino Linotype"/>
          <w:sz w:val="18"/>
        </w:rPr>
        <w:t xml:space="preserve"> </w:t>
      </w:r>
      <w:r>
        <w:rPr>
          <w:rFonts w:ascii="Palatino Linotype" w:hAnsi="Palatino Linotype"/>
          <w:sz w:val="18"/>
        </w:rPr>
        <w:t xml:space="preserve">as the condition</w:t>
      </w:r>
      <w:r>
        <w:rPr>
          <w:rFonts w:ascii="Palatino Linotype" w:hAnsi="Palatino Linotype"/>
          <w:sz w:val="18"/>
        </w:rP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π</m:t>
            </m:r>
          </m:sub>
        </m:sSub>
        <m:r>
          <m:rPr>
            <m:nor/>
            <m:sty m:val="p"/>
          </m:rPr>
          <m:t>SR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π</m:t>
            </m:r>
          </m:sub>
        </m:sSub>
        <m:r>
          <m:t>M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rPr>
          <w:rFonts w:ascii="Palatino Linotype" w:hAnsi="Palatino Linotype"/>
          <w:sz w:val="18"/>
        </w:rPr>
        <w:t xml:space="preserve">,</w:t>
      </w:r>
      <w:r>
        <w:rPr>
          <w:rFonts w:ascii="Palatino Linotype" w:hAnsi="Palatino Linotype"/>
          <w:sz w:val="18"/>
        </w:rPr>
        <w:t xml:space="preserve"> </w:t>
      </w:r>
      <w:r>
        <w:rPr>
          <w:rFonts w:ascii="Palatino Linotype" w:hAnsi="Palatino Linotype"/>
          <w:sz w:val="18"/>
        </w:rPr>
        <w:t xml:space="preserve">where</w:t>
      </w:r>
      <w:r>
        <w:rPr>
          <w:rFonts w:ascii="Palatino Linotype" w:hAnsi="Palatino Linotype"/>
          <w:sz w:val="18"/>
        </w:rPr>
        <w:t xml:space="preserve"> </w:t>
      </w:r>
      <m:oMath>
        <m:r>
          <m:rPr>
            <m:nor/>
            <m:sty m:val="p"/>
          </m:rPr>
          <m:t>SR</m:t>
        </m:r>
      </m:oMath>
      <w:r>
        <w:rPr>
          <w:rFonts w:ascii="Palatino Linotype" w:hAnsi="Palatino Linotype"/>
          <w:sz w:val="18"/>
        </w:rPr>
        <w:t xml:space="preserve"> </w:t>
      </w:r>
      <w:r>
        <w:rPr>
          <w:rFonts w:ascii="Palatino Linotype" w:hAnsi="Palatino Linotype"/>
          <w:sz w:val="18"/>
        </w:rPr>
        <w:t xml:space="preserve">is feasible success rate and</w:t>
      </w:r>
      <w:r>
        <w:rPr>
          <w:rFonts w:ascii="Palatino Linotype" w:hAnsi="Palatino Linotype"/>
          <w:sz w:val="18"/>
        </w:rPr>
        <w:t xml:space="preserve"> </w:t>
      </w:r>
      <m:oMath>
        <m:r>
          <m:t>M</m:t>
        </m:r>
      </m:oMath>
      <w:r>
        <w:rPr>
          <w:rFonts w:ascii="Palatino Linotype" w:hAnsi="Palatino Linotype"/>
          <w:sz w:val="18"/>
        </w:rPr>
        <w:t xml:space="preserve"> </w:t>
      </w:r>
      <w:r>
        <w:rPr>
          <w:rFonts w:ascii="Palatino Linotype" w:hAnsi="Palatino Linotype"/>
          <w:sz w:val="18"/>
        </w:rPr>
        <w:t xml:space="preserve">is normalised mission</w:t>
      </w:r>
      <w:r>
        <w:rPr>
          <w:rFonts w:ascii="Palatino Linotype" w:hAnsi="Palatino Linotype"/>
          <w:sz w:val="18"/>
        </w:rPr>
        <w:t xml:space="preserve"> </w:t>
      </w:r>
      <w:r>
        <w:rPr>
          <w:rFonts w:ascii="Palatino Linotype" w:hAnsi="Palatino Linotype"/>
          <w:sz w:val="18"/>
        </w:rPr>
        <w:t xml:space="preserve">score. This condition holds across all three scenarios and is confirmed</w:t>
      </w:r>
      <w:r>
        <w:rPr>
          <w:rFonts w:ascii="Palatino Linotype" w:hAnsi="Palatino Linotype"/>
          <w:sz w:val="18"/>
        </w:rPr>
        <w:t xml:space="preserve"> </w:t>
      </w:r>
      <w:r>
        <w:rPr>
          <w:rFonts w:ascii="Palatino Linotype" w:hAnsi="Palatino Linotype"/>
          <w:sz w:val="18"/>
        </w:rPr>
        <w:t xml:space="preserve">by Friedman test (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rPr>
          <w:rFonts w:ascii="Palatino Linotype" w:hAnsi="Palatino Linotype"/>
          <w:sz w:val="18"/>
        </w:rPr>
        <w:t xml:space="preserve">). Navigation success is</w:t>
      </w:r>
      <w:r>
        <w:rPr>
          <w:rFonts w:ascii="Palatino Linotype" w:hAnsi="Palatino Linotype"/>
          <w:sz w:val="18"/>
        </w:rPr>
        <w:t xml:space="preserve"> </w:t>
      </w:r>
      <w:r>
        <w:rPr>
          <w:rFonts w:ascii="Palatino Linotype" w:hAnsi="Palatino Linotype"/>
          <w:i/>
          <w:iCs/>
          <w:sz w:val="18"/>
        </w:rPr>
        <w:t xml:space="preserve">not</w:t>
      </w:r>
      <w:r>
        <w:rPr>
          <w:rFonts w:ascii="Palatino Linotype" w:hAnsi="Palatino Linotype"/>
          <w:sz w:val="18"/>
        </w:rPr>
        <w:t xml:space="preserve"> </w:t>
      </w:r>
      <w:r>
        <w:rPr>
          <w:rFonts w:ascii="Palatino Linotype" w:hAnsi="Palatino Linotype"/>
          <w:sz w:val="18"/>
        </w:rPr>
        <w:t xml:space="preserve">a proxy</w:t>
      </w:r>
      <w:r>
        <w:rPr>
          <w:rFonts w:ascii="Palatino Linotype" w:hAnsi="Palatino Linotype"/>
          <w:sz w:val="18"/>
        </w:rPr>
        <w:t xml:space="preserve"> </w:t>
      </w:r>
      <w:r>
        <w:rPr>
          <w:rFonts w:ascii="Palatino Linotype" w:hAnsi="Palatino Linotype"/>
          <w:sz w:val="18"/>
        </w:rPr>
        <w:t xml:space="preserve">for mission effectiveness.</w:t>
      </w:r>
    </w:p>
    <w:p>
      <w:pPr>
        <w:pStyle w:val="BodyText"/>
        <w:jc w:val="both"/>
      </w:pPr>
      <w:r>
        <w:rPr>
          <w:rFonts w:ascii="Palatino Linotype" w:hAnsi="Palatino Linotype"/>
          <w:b/>
          <w:bCs/>
          <w:sz w:val="20"/>
        </w:rPr>
        <w:t xml:space="preserve">The best navigator fails at rescue.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Incremental A* ranks #1 in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SR but only #4 in mission score (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rPr>
          <w:rFonts w:ascii="Palatino Linotype" w:hAnsi="Palatino Linotype"/>
          <w:sz w:val="20"/>
        </w:rPr>
        <w:t xml:space="preserve">). Its efficient,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minimal replanning reaches the goal quickly but bypasses time-critical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intermediate tasks, delivering medication after significant efficacy loss.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The low replan count (7.5 mean) means the planner does not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re-evaluate route quality as fire evolves.</w:t>
      </w:r>
    </w:p>
    <w:p>
      <w:pPr>
        <w:pStyle w:val="BodyText"/>
        <w:jc w:val="both"/>
      </w:pPr>
      <w:r>
        <w:rPr>
          <w:rFonts w:ascii="Palatino Linotype" w:hAnsi="Palatino Linotype"/>
          <w:b/>
          <w:bCs/>
          <w:sz w:val="20"/>
        </w:rPr>
        <w:t xml:space="preserve">The best rescuer is not the safest.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Aggressive Replan ranks #3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in SR but #1 in mission score (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2</m:t>
        </m:r>
      </m:oMath>
      <w:r>
        <w:rPr>
          <w:rFonts w:ascii="Palatino Linotype" w:hAnsi="Palatino Linotype"/>
          <w:sz w:val="20"/>
        </w:rPr>
        <w:t xml:space="preserve">). Its low coefficient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(</w:t>
      </w:r>
      <m:oMath>
        <m:r>
          <m:t>β</m:t>
        </m:r>
        <m:r>
          <m:rPr>
            <m:sty m:val="p"/>
          </m:rPr>
          <m:t>=</m:t>
        </m:r>
        <m:r>
          <m:t>0.5</m:t>
        </m:r>
      </m:oMath>
      <w:r>
        <w:rPr>
          <w:rFonts w:ascii="Palatino Linotype" w:hAnsi="Palatino Linotype"/>
          <w:sz w:val="20"/>
        </w:rPr>
        <w:t xml:space="preserve">) admits routes through fire fringes: when it survives,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medication retains high efficacy (</w:t>
      </w:r>
      <m:oMath>
        <m:r>
          <m:t>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0.7</m:t>
        </m:r>
      </m:oMath>
      <w:r>
        <w:rPr>
          <w:rFonts w:ascii="Palatino Linotype" w:hAnsi="Palatino Linotype"/>
          <w:sz w:val="20"/>
        </w:rPr>
        <w:t xml:space="preserve">) and casualties remain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alive (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rPr>
          <w:rFonts w:ascii="Palatino Linotype" w:hAnsi="Palatino Linotype"/>
          <w:sz w:val="20"/>
        </w:rPr>
        <w:t xml:space="preserve">). Low </w:t>
      </w:r>
      <m:oMath>
        <m:r>
          <m:t>ρ</m:t>
        </m:r>
      </m:oMath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yields shorter paths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(</w:t>
      </w:r>
      <m:oMath>
        <m:r>
          <m:t>t</m:t>
        </m:r>
        <m:r>
          <m:rPr>
            <m:sty m:val="p"/>
          </m:rPr>
          <m:t>↓</m:t>
        </m:r>
      </m:oMath>
      <w:r>
        <w:rPr>
          <w:rFonts w:ascii="Palatino Linotype" w:hAnsi="Palatino Linotype"/>
          <w:sz w:val="20"/>
        </w:rPr>
        <w:t xml:space="preserve">), directly increasing </w:t>
      </w:r>
      <m:oMath>
        <m:r>
          <m:t>M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ascii="Palatino Linotype" w:hAnsi="Palatino Linotype"/>
          <w:sz w:val="20"/>
        </w:rPr>
        <w:t xml:space="preserve">.</w:t>
      </w:r>
    </w:p>
    <w:p>
      <w:pPr>
        <w:pStyle w:val="BodyText"/>
        <w:jc w:val="both"/>
      </w:pPr>
      <w:r>
        <w:rPr>
          <w:rFonts w:ascii="Palatino Linotype" w:hAnsi="Palatino Linotype"/>
          <w:sz w:val="20"/>
        </w:rPr>
        <w:t xml:space="preserve">The mechanism follows directly from the coupling in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Section 2.6: Aggressive applies</w:t>
      </w:r>
      <w:r>
        <w:rPr>
          <w:rFonts w:ascii="Palatino Linotype" w:hAnsi="Palatino Linotype"/>
          <w:sz w:val="20"/>
        </w:rP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0.5</m:t>
        </m:r>
        <m:r>
          <m:t>R</m:t>
        </m:r>
      </m:oMath>
      <w:r>
        <w:rPr>
          <w:rFonts w:ascii="Palatino Linotype" w:hAnsi="Palatino Linotype"/>
          <w:sz w:val="20"/>
        </w:rPr>
        <w:t xml:space="preserve">, barely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inflating costs near fire, while Periodic applies</w:t>
      </w:r>
      <w:r>
        <w:rPr>
          <w:rFonts w:ascii="Palatino Linotype" w:hAnsi="Palatino Linotype"/>
          <w:sz w:val="20"/>
        </w:rP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5.0</m:t>
        </m:r>
        <m:r>
          <m:t>R</m:t>
        </m:r>
      </m:oMath>
      <w:r>
        <w:rPr>
          <w:rFonts w:ascii="Palatino Linotype" w:hAnsi="Palatino Linotype"/>
          <w:sz w:val="20"/>
        </w:rPr>
        <w:t xml:space="preserve">—a</w:t>
      </w:r>
      <w:r>
        <w:rPr>
          <w:rFonts w:ascii="Palatino Linotype" w:hAnsi="Palatino Linotype"/>
          <w:sz w:val="20"/>
        </w:rPr>
        <w:t xml:space="preserve"> </w:t>
      </w:r>
      <m:oMath>
        <m:r>
          <m:t>10</m:t>
        </m:r>
        <m:r>
          <m:rPr>
            <m:sty m:val="p"/>
          </m:rPr>
          <m:t>×</m:t>
        </m:r>
      </m:oMath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stronger aversion signal that forces massive detours.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i/>
          <w:iCs/>
          <w:sz w:val="20"/>
        </w:rPr>
        <w:t xml:space="preserve">The detour saves the planner’s life but costs the patient’s.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Figure 6(a) makes this visible: planners on the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SR-optimal frontier (right side) fall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i/>
          <w:iCs/>
          <w:sz w:val="20"/>
        </w:rPr>
        <w:t xml:space="preserve">below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the diagonal in mission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score—the two rankings disagree.</w:t>
      </w:r>
    </w:p>
    <w:bookmarkStart w:id="48" w:name="fig:scatter"/>
    <w:p>
      <w:pPr>
        <w:pStyle w:val="CaptionedFigure"/>
      </w:pPr>
      <w:r>
        <w:drawing>
          <wp:inline>
            <wp:extent cx="5334000" cy="2192503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../figures/mission_impact_scatter_v2.pdf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25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ranking inversion, visualised. (</w:t>
      </w:r>
      <w:r>
        <w:rPr>
          <w:b/>
          <w:bCs/>
        </w:rPr>
        <w:t xml:space="preserve">a</w:t>
      </w:r>
      <w:r>
        <w:t xml:space="preserve">) SR vs. mission score;</w:t>
      </w:r>
      <w:r>
        <w:t xml:space="preserve"> </w:t>
      </w:r>
      <w:r>
        <w:t xml:space="preserve">the dashed line connecting Incr. A* to Aggressive crosses the</w:t>
      </w:r>
      <w:r>
        <w:t xml:space="preserve"> </w:t>
      </w:r>
      <w:r>
        <w:t xml:space="preserve">diagonal—the two rankings disagree. (</w:t>
      </w:r>
      <w:r>
        <w:rPr>
          <w:b/>
          <w:bCs/>
        </w:rPr>
        <w:t xml:space="preserve">b</w:t>
      </w:r>
      <w:r>
        <w:t xml:space="preserve">) Mission-score bars confirm:</w:t>
      </w:r>
      <w:r>
        <w:t xml:space="preserve"> </w:t>
      </w:r>
      <w:r>
        <w:t xml:space="preserve">Aggressive achieves the highest score despite middling SR.</w:t>
      </w:r>
    </w:p>
    <w:bookmarkEnd w:id="48"/>
    <w:bookmarkEnd w:id="49"/>
    <w:bookmarkStart w:id="54" w:name="sec:qualitative"/>
    <w:p>
      <w:pPr>
        <w:pStyle w:val="Heading2"/>
      </w:pPr>
      <w:r>
        <w:rPr>
          <w:rStyle w:val="SectionNumber"/>
          <w:rFonts w:ascii="Palatino Linotype" w:hAnsi="Palatino Linotype"/>
        </w:rPr>
        <w:t xml:space="preserve">3.4</w:t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 xml:space="preserve">Qualitative Evidence</w:t>
      </w:r>
    </w:p>
    <w:p>
      <w:pPr>
        <w:pStyle w:val="FirstParagraph"/>
        <w:jc w:val="both"/>
      </w:pPr>
      <w:r>
        <w:rPr>
          <w:rFonts w:ascii="Palatino Linotype" w:hAnsi="Palatino Linotype"/>
          <w:sz w:val="18"/>
        </w:rPr>
        <w:t xml:space="preserve">Figure 7 provides spatial confirmation. Three planners</w:t>
      </w:r>
      <w:r>
        <w:rPr>
          <w:rFonts w:ascii="Palatino Linotype" w:hAnsi="Palatino Linotype"/>
          <w:sz w:val="18"/>
        </w:rPr>
        <w:t xml:space="preserve"> </w:t>
      </w:r>
      <w:r>
        <w:rPr>
          <w:rFonts w:ascii="Palatino Linotype" w:hAnsi="Palatino Linotype"/>
          <w:sz w:val="18"/>
        </w:rPr>
        <w:t xml:space="preserve">face the same wildfire yet produce strikingly different routes. A* collides</w:t>
      </w:r>
      <w:r>
        <w:rPr>
          <w:rFonts w:ascii="Palatino Linotype" w:hAnsi="Palatino Linotype"/>
          <w:sz w:val="18"/>
        </w:rPr>
        <w:t xml:space="preserve"> </w:t>
      </w:r>
      <w:r>
        <w:rPr>
          <w:rFonts w:ascii="Palatino Linotype" w:hAnsi="Palatino Linotype"/>
          <w:sz w:val="18"/>
        </w:rPr>
        <w:t xml:space="preserve">with the first dynamic obstacle at</w:t>
      </w:r>
      <w:r>
        <w:rPr>
          <w:rFonts w:ascii="Palatino Linotype" w:hAnsi="Palatino Linotype"/>
          <w:sz w:val="18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78</m:t>
        </m:r>
      </m:oMath>
      <w:r>
        <w:rPr>
          <w:rFonts w:ascii="Palatino Linotype" w:hAnsi="Palatino Linotype"/>
          <w:sz w:val="18"/>
        </w:rPr>
        <w:t xml:space="preserve">. Aggressive threads through smoke in</w:t>
      </w:r>
      <w:r>
        <w:rPr>
          <w:rFonts w:ascii="Palatino Linotype" w:hAnsi="Palatino Linotype"/>
          <w:sz w:val="18"/>
        </w:rPr>
        <w:t xml:space="preserve"> </w:t>
      </w:r>
      <w:r>
        <w:rPr>
          <w:rFonts w:ascii="Palatino Linotype" w:hAnsi="Palatino Linotype"/>
          <w:sz w:val="18"/>
        </w:rPr>
        <w:t xml:space="preserve">522 steps. Periodic detours the entire fire perimeter in 524 steps via a</w:t>
      </w:r>
      <w:r>
        <w:rPr>
          <w:rFonts w:ascii="Palatino Linotype" w:hAnsi="Palatino Linotype"/>
          <w:sz w:val="18"/>
        </w:rPr>
        <w:t xml:space="preserve"> </w:t>
      </w:r>
      <w:r>
        <w:rPr>
          <w:rFonts w:ascii="Palatino Linotype" w:hAnsi="Palatino Linotype"/>
          <w:sz w:val="18"/>
        </w:rPr>
        <w:t xml:space="preserve">path twice as long. The coefficient—not the algorithm—determines the route.</w:t>
      </w:r>
      <w:r>
        <w:rPr>
          <w:rFonts w:ascii="Palatino Linotype" w:hAnsi="Palatino Linotype"/>
          <w:sz w:val="18"/>
        </w:rPr>
        <w:t xml:space="preserve"> </w:t>
      </w:r>
      <w:r>
        <w:rPr>
          <w:rFonts w:ascii="Palatino Linotype" w:hAnsi="Palatino Linotype"/>
          <w:sz w:val="18"/>
        </w:rPr>
        <w:t xml:space="preserve">Aggressive and Periodic arrive in nearly the same number of steps (522</w:t>
      </w:r>
      <w:r>
        <w:rPr>
          <w:rFonts w:ascii="Palatino Linotype" w:hAnsi="Palatino Linotype"/>
          <w:sz w:val="18"/>
        </w:rPr>
        <w:t xml:space="preserve"> </w:t>
      </w:r>
      <w:r>
        <w:rPr>
          <w:rFonts w:ascii="Palatino Linotype" w:hAnsi="Palatino Linotype"/>
          <w:sz w:val="18"/>
        </w:rPr>
        <w:t xml:space="preserve">vs. 524) but via radically different paths:</w:t>
      </w:r>
      <w:r>
        <w:rPr>
          <w:rFonts w:ascii="Palatino Linotype" w:hAnsi="Palatino Linotype"/>
          <w:sz w:val="18"/>
        </w:rPr>
        <w:t xml:space="preserve"> </w:t>
      </w:r>
      <m:oMath>
        <m:r>
          <m:t>ρ</m:t>
        </m:r>
      </m:oMath>
      <w:r>
        <w:rPr>
          <w:rFonts w:ascii="Palatino Linotype" w:hAnsi="Palatino Linotype"/>
          <w:sz w:val="18"/>
        </w:rPr>
        <w:t xml:space="preserve"> </w:t>
      </w:r>
      <w:r>
        <w:rPr>
          <w:rFonts w:ascii="Palatino Linotype" w:hAnsi="Palatino Linotype"/>
          <w:sz w:val="18"/>
        </w:rPr>
        <w:t xml:space="preserve">controls route</w:t>
      </w:r>
      <w:r>
        <w:rPr>
          <w:rFonts w:ascii="Palatino Linotype" w:hAnsi="Palatino Linotype"/>
          <w:sz w:val="18"/>
        </w:rPr>
        <w:t xml:space="preserve"> </w:t>
      </w:r>
      <w:r>
        <w:rPr>
          <w:rFonts w:ascii="Palatino Linotype" w:hAnsi="Palatino Linotype"/>
          <w:sz w:val="18"/>
        </w:rPr>
        <w:t xml:space="preserve">geometry, not raw speed.</w:t>
      </w:r>
    </w:p>
    <w:bookmarkStart w:id="53" w:name="fig:comparison5"/>
    <w:p>
      <w:pPr>
        <w:pStyle w:val="CaptionedFigure"/>
      </w:pPr>
      <w:r>
        <w:drawing>
          <wp:inline>
            <wp:extent cx="5168900" cy="19431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../figures/trajectory_comparison_5panel.pdf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900" cy="1943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Same fire, three fates (Penteli, seed 42). A* (left) collides</w:t>
      </w:r>
      <w:r>
        <w:t xml:space="preserve"> </w:t>
      </w:r>
      <w:r>
        <w:t xml:space="preserve">with a dynamic obstacle. Aggressive (centre) threads through smoke.</w:t>
      </w:r>
      <w:r>
        <w:t xml:space="preserve"> </w:t>
      </w:r>
      <w:r>
        <w:t xml:space="preserve">Periodic (right) detours safely—but insulin degrades en route. Black</w:t>
      </w:r>
      <w:r>
        <w:t xml:space="preserve"> </w:t>
      </w:r>
      <w:r>
        <w:t xml:space="preserve">circles denote dynamic obstacles; blue cross denotes the UAV.</w:t>
      </w:r>
      <w:r>
        <w:t xml:space="preserve"> </w:t>
      </w:r>
      <w:r>
        <w:t xml:space="preserve">Yellow cross: target. This figure illustrates the ranking inversion:</w:t>
      </w:r>
      <w:r>
        <w:t xml:space="preserve"> </w:t>
      </w:r>
      <w:r>
        <w:t xml:space="preserve">safer paths lead to worse mission outcomes.</w:t>
      </w:r>
    </w:p>
    <w:bookmarkEnd w:id="53"/>
    <w:bookmarkEnd w:id="54"/>
    <w:bookmarkStart w:id="56" w:name="sec:stats"/>
    <w:p>
      <w:pPr>
        <w:pStyle w:val="Heading2"/>
      </w:pPr>
      <w:r>
        <w:rPr>
          <w:rStyle w:val="SectionNumber"/>
          <w:rFonts w:ascii="Palatino Linotype" w:hAnsi="Palatino Linotype"/>
        </w:rPr>
        <w:t xml:space="preserve">3.5</w:t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 xml:space="preserve">Statistical Validation</w:t>
      </w:r>
    </w:p>
    <w:p>
      <w:pPr>
        <w:pStyle w:val="FirstParagraph"/>
        <w:jc w:val="both"/>
      </w:pPr>
      <w:r>
        <w:rPr>
          <w:rFonts w:ascii="Palatino Linotype" w:hAnsi="Palatino Linotype"/>
          <w:sz w:val="20"/>
        </w:rPr>
        <w:t xml:space="preserve">Wilcoxon tests (Bonferroni-corrected) confirm A* differs from every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adaptive planner (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rPr>
          <w:rFonts w:ascii="Palatino Linotype" w:hAnsi="Palatino Linotype"/>
          <w:sz w:val="20"/>
        </w:rPr>
        <w:t xml:space="preserve">). Critically,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i/>
          <w:iCs/>
          <w:sz w:val="20"/>
        </w:rPr>
        <w:t xml:space="preserve">no significant</w:t>
      </w:r>
      <w:r>
        <w:rPr>
          <w:rFonts w:ascii="Palatino Linotype" w:hAnsi="Palatino Linotype"/>
          <w:i/>
          <w:iCs/>
          <w:sz w:val="20"/>
        </w:rPr>
        <w:t xml:space="preserve"> </w:t>
      </w:r>
      <w:r>
        <w:rPr>
          <w:rFonts w:ascii="Palatino Linotype" w:hAnsi="Palatino Linotype"/>
          <w:i/>
          <w:iCs/>
          <w:sz w:val="20"/>
        </w:rPr>
        <w:t xml:space="preserve">difference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exists between Periodic and Aggressive in SR (</w:t>
      </w:r>
      <m:oMath>
        <m:r>
          <m:t>p</m:t>
        </m:r>
        <m:r>
          <m:rPr>
            <m:sty m:val="p"/>
          </m:rPr>
          <m:t>=</m:t>
        </m:r>
        <m:r>
          <m:t>1.0</m:t>
        </m:r>
      </m:oMath>
      <w:r>
        <w:rPr>
          <w:rFonts w:ascii="Palatino Linotype" w:hAnsi="Palatino Linotype"/>
          <w:sz w:val="20"/>
        </w:rPr>
        <w:t xml:space="preserve">):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navigation success alone cannot separate them. The discriminator is mission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score: a Friedman test yields</w:t>
      </w:r>
      <w:r>
        <w:rPr>
          <w:rFonts w:ascii="Palatino Linotype" w:hAnsi="Palatino Linotype"/>
          <w:sz w:val="20"/>
        </w:rP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190.8</m:t>
        </m:r>
      </m:oMath>
      <w:r>
        <w:rPr>
          <w:rFonts w:ascii="Palatino Linotype" w:hAnsi="Palatino Linotype"/>
          <w:sz w:val="20"/>
        </w:rPr>
        <w:t xml:space="preserve">,</w:t>
      </w:r>
      <w:r>
        <w:rPr>
          <w:rFonts w:ascii="Palatino Linotype" w:hAnsi="Palatino Linotype"/>
          <w:sz w:val="20"/>
        </w:rP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rPr>
          <w:rFonts w:ascii="Palatino Linotype" w:hAnsi="Palatino Linotype"/>
          <w:sz w:val="20"/>
        </w:rPr>
        <w:t xml:space="preserve">,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establishing the ranking inversion as statistically robust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(Table 4).</w:t>
      </w:r>
    </w:p>
    <w:bookmarkStart w:id="55" w:name="tab:stats_summary"/>
    <w:p>
      <w:pPr>
        <w:pStyle w:val="TableCaption"/>
      </w:pPr>
      <w:r>
        <w:t xml:space="preserve">Statistical validation. Friedman confirms ranking differences;</w:t>
      </w:r>
      <w:r>
        <w:t xml:space="preserve"> </w:t>
      </w:r>
      <w:r>
        <w:t xml:space="preserve">bootstrap CIs quantify uncertainty.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Caption w:val="Statistical validation. Friedman confirms ranking differences; bootstrap CIs quantify uncertainty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b/>
                <w:bCs/>
                <w:sz w:val="18"/>
              </w:rPr>
              <w:t xml:space="preserve">Test</w:t>
            </w:r>
          </w:p>
        </w:tc>
        <w:tc>
          <w:tcPr/>
          <w:p>
            <w:pPr>
              <w:pStyle w:val="Compact"/>
              <w:spacing w:after="40" w:before="40"/>
              <w:jc w:val="right"/>
            </w:pPr>
            <w:r>
              <w:rPr>
                <w:rFonts w:ascii="Palatino Linotype" w:hAnsi="Palatino Linotype"/>
                <w:b/>
                <w:bCs/>
                <w:sz w:val="18"/>
              </w:rPr>
              <w:t xml:space="preserve">Statistic</w:t>
            </w:r>
          </w:p>
        </w:tc>
        <w:tc>
          <w:tcPr/>
          <w:p>
            <w:pPr>
              <w:pStyle w:val="Compact"/>
              <w:spacing w:after="40" w:before="40"/>
              <w:jc w:val="right"/>
            </w:pPr>
            <m:oMath>
              <m:r>
                <m:rPr>
                  <m:sty m:val="bi"/>
                </m:rPr>
                <m:t>p</m:t>
              </m:r>
            </m:oMath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b/>
                <w:bCs/>
                <w:sz w:val="18"/>
              </w:rPr>
              <w:t xml:space="preserve">Result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sz w:val="18"/>
              </w:rPr>
              <w:t xml:space="preserve">Friedman (5 planners)</w:t>
            </w:r>
          </w:p>
        </w:tc>
        <w:tc>
          <w:tcPr/>
          <w:p>
            <w:pPr>
              <w:pStyle w:val="Compact"/>
              <w:spacing w:after="40" w:before="40"/>
              <w:jc w:val="right"/>
            </w:pPr>
            <m:oMath>
              <m:sSup>
                <m:e>
                  <m:r>
                    <m:t>χ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190.8</m:t>
              </m:r>
            </m:oMath>
          </w:p>
        </w:tc>
        <w:tc>
          <w:tcPr/>
          <w:p>
            <w:pPr>
              <w:pStyle w:val="Compact"/>
              <w:spacing w:after="40" w:before="40"/>
              <w:jc w:val="right"/>
            </w:pPr>
            <m:oMath>
              <m:r>
                <m:rPr>
                  <m:sty m:val="p"/>
                </m:rPr>
                <m:t>&lt;</m:t>
              </m:r>
              <m:r>
                <m:t>0.001</m:t>
              </m:r>
            </m:oMath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sz w:val="18"/>
              </w:rPr>
              <w:t xml:space="preserve">Planners differ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sz w:val="18"/>
              </w:rPr>
              <w:t xml:space="preserve">A* vs. Adaptive (Wilcoxon)</w:t>
            </w:r>
          </w:p>
        </w:tc>
        <w:tc>
          <w:tcPr/>
          <w:p>
            <w:pPr>
              <w:pStyle w:val="Compact"/>
              <w:spacing w:after="40" w:before="40"/>
              <w:jc w:val="right"/>
            </w:pPr>
            <w:r>
              <w:rPr>
                <w:rFonts w:ascii="Palatino Linotype" w:hAnsi="Palatino Linotype"/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after="40" w:before="40"/>
              <w:jc w:val="right"/>
            </w:pPr>
            <m:oMath>
              <m:r>
                <m:rPr>
                  <m:sty m:val="p"/>
                </m:rPr>
                <m:t>&lt;</m:t>
              </m:r>
              <m:r>
                <m:t>0.001</m:t>
              </m:r>
            </m:oMath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sz w:val="18"/>
              </w:rPr>
              <w:t xml:space="preserve">All significant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sz w:val="18"/>
              </w:rPr>
              <w:t xml:space="preserve">A* vs. Incr. A* (Cliff’s</w:t>
            </w:r>
            <w:r>
              <w:rPr>
                <w:rFonts w:ascii="Palatino Linotype" w:hAnsi="Palatino Linotype"/>
                <w:sz w:val="18"/>
              </w:rPr>
              <w:t xml:space="preserve"> </w:t>
            </w:r>
            <m:oMath>
              <m:r>
                <m:t>δ</m:t>
              </m:r>
            </m:oMath>
            <w:r>
              <w:rPr>
                <w:rFonts w:ascii="Palatino Linotype" w:hAnsi="Palatino Linotype"/>
                <w:sz w:val="18"/>
              </w:rPr>
              <w:t xml:space="preserve">)</w:t>
            </w:r>
          </w:p>
        </w:tc>
        <w:tc>
          <w:tcPr/>
          <w:p>
            <w:pPr>
              <w:pStyle w:val="Compact"/>
              <w:spacing w:after="40" w:before="40"/>
              <w:jc w:val="right"/>
            </w:pPr>
            <w:r>
              <w:rPr>
                <w:rFonts w:ascii="Palatino Linotype" w:hAnsi="Palatino Linotype"/>
                <w:sz w:val="18"/>
              </w:rPr>
              <w:t xml:space="preserve">0.58</w:t>
            </w:r>
          </w:p>
        </w:tc>
        <w:tc>
          <w:tcPr/>
          <w:p>
            <w:pPr>
              <w:pStyle w:val="Compact"/>
              <w:spacing w:after="40" w:before="40"/>
              <w:jc w:val="right"/>
            </w:pPr>
            <w:r>
              <w:rPr>
                <w:rFonts w:ascii="Palatino Linotype" w:hAnsi="Palatino Linotype"/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sz w:val="18"/>
              </w:rPr>
              <w:t xml:space="preserve">Large effect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sz w:val="18"/>
              </w:rPr>
              <w:t xml:space="preserve">Incr. A* vs. APF (Cliff’s</w:t>
            </w:r>
            <w:r>
              <w:rPr>
                <w:rFonts w:ascii="Palatino Linotype" w:hAnsi="Palatino Linotype"/>
                <w:sz w:val="18"/>
              </w:rPr>
              <w:t xml:space="preserve"> </w:t>
            </w:r>
            <m:oMath>
              <m:r>
                <m:t>δ</m:t>
              </m:r>
            </m:oMath>
            <w:r>
              <w:rPr>
                <w:rFonts w:ascii="Palatino Linotype" w:hAnsi="Palatino Linotype"/>
                <w:sz w:val="18"/>
              </w:rPr>
              <w:t xml:space="preserve">)</w:t>
            </w:r>
          </w:p>
        </w:tc>
        <w:tc>
          <w:tcPr/>
          <w:p>
            <w:pPr>
              <w:pStyle w:val="Compact"/>
              <w:spacing w:after="40" w:before="40"/>
              <w:jc w:val="right"/>
            </w:pPr>
            <w:r>
              <w:rPr>
                <w:rFonts w:ascii="Palatino Linotype" w:hAnsi="Palatino Linotype"/>
                <w:sz w:val="18"/>
              </w:rPr>
              <w:t xml:space="preserve">0.27</w:t>
            </w:r>
          </w:p>
        </w:tc>
        <w:tc>
          <w:tcPr/>
          <w:p>
            <w:pPr>
              <w:pStyle w:val="Compact"/>
              <w:spacing w:after="40" w:before="40"/>
              <w:jc w:val="right"/>
            </w:pPr>
            <w:r>
              <w:rPr>
                <w:rFonts w:ascii="Palatino Linotype" w:hAnsi="Palatino Linotype"/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sz w:val="18"/>
              </w:rPr>
              <w:t xml:space="preserve">Small effect</w:t>
            </w:r>
          </w:p>
        </w:tc>
      </w:tr>
      <w:tr>
        <w:tc>
          <w:tcPr>
            <w:gridSpan w:val="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i/>
                <w:iCs/>
                <w:sz w:val="18"/>
              </w:rPr>
              <w:t xml:space="preserve">IQM success rate, 95% bootstrap CI (10,000 resamples):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sz w:val="18"/>
              </w:rPr>
              <w:t xml:space="preserve">Incr. A*</w:t>
            </w:r>
          </w:p>
        </w:tc>
        <w:tc>
          <w:tcPr/>
          <w:p>
            <w:pPr>
              <w:pStyle w:val="Compact"/>
              <w:spacing w:after="40" w:before="40"/>
              <w:jc w:val="right"/>
            </w:pPr>
            <w:r>
              <w:rPr>
                <w:rFonts w:ascii="Palatino Linotype" w:hAnsi="Palatino Linotype"/>
                <w:sz w:val="18"/>
              </w:rPr>
              <w:t xml:space="preserve">62.7%</w:t>
            </w:r>
          </w:p>
        </w:tc>
        <w:tc>
          <w:tcPr>
            <w:gridSpan w:val="2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sz w:val="18"/>
              </w:rPr>
              <w:t xml:space="preserve">[50.9, 74.5]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sz w:val="18"/>
              </w:rPr>
              <w:t xml:space="preserve">Periodic</w:t>
            </w:r>
          </w:p>
        </w:tc>
        <w:tc>
          <w:tcPr/>
          <w:p>
            <w:pPr>
              <w:pStyle w:val="Compact"/>
              <w:spacing w:after="40" w:before="40"/>
              <w:jc w:val="right"/>
            </w:pPr>
            <w:r>
              <w:rPr>
                <w:rFonts w:ascii="Palatino Linotype" w:hAnsi="Palatino Linotype"/>
                <w:sz w:val="18"/>
              </w:rPr>
              <w:t xml:space="preserve">55.4%</w:t>
            </w:r>
          </w:p>
        </w:tc>
        <w:tc>
          <w:tcPr>
            <w:gridSpan w:val="2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sz w:val="18"/>
              </w:rPr>
              <w:t xml:space="preserve">[43.1, 67.8]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sz w:val="18"/>
              </w:rPr>
              <w:t xml:space="preserve">Aggressive</w:t>
            </w:r>
          </w:p>
        </w:tc>
        <w:tc>
          <w:tcPr/>
          <w:p>
            <w:pPr>
              <w:pStyle w:val="Compact"/>
              <w:spacing w:after="40" w:before="40"/>
              <w:jc w:val="right"/>
            </w:pPr>
            <w:r>
              <w:rPr>
                <w:rFonts w:ascii="Palatino Linotype" w:hAnsi="Palatino Linotype"/>
                <w:sz w:val="18"/>
              </w:rPr>
              <w:t xml:space="preserve">50.6%</w:t>
            </w:r>
          </w:p>
        </w:tc>
        <w:tc>
          <w:tcPr>
            <w:gridSpan w:val="2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sz w:val="18"/>
              </w:rPr>
              <w:t xml:space="preserve">[38.6, 62.6]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sz w:val="18"/>
              </w:rPr>
              <w:t xml:space="preserve">APF</w:t>
            </w:r>
          </w:p>
        </w:tc>
        <w:tc>
          <w:tcPr/>
          <w:p>
            <w:pPr>
              <w:pStyle w:val="Compact"/>
              <w:spacing w:after="40" w:before="40"/>
              <w:jc w:val="right"/>
            </w:pPr>
            <w:r>
              <w:rPr>
                <w:rFonts w:ascii="Palatino Linotype" w:hAnsi="Palatino Linotype"/>
                <w:sz w:val="18"/>
              </w:rPr>
              <w:t xml:space="preserve">33.7%</w:t>
            </w:r>
          </w:p>
        </w:tc>
        <w:tc>
          <w:tcPr>
            <w:gridSpan w:val="2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sz w:val="18"/>
              </w:rPr>
              <w:t xml:space="preserve">[22.6, 44.9]</w:t>
            </w:r>
          </w:p>
        </w:tc>
      </w:tr>
    </w:tbl>
    <w:bookmarkEnd w:id="55"/>
    <w:bookmarkEnd w:id="56"/>
    <w:bookmarkStart w:id="57" w:name="sec:ablation"/>
    <w:p>
      <w:pPr>
        <w:pStyle w:val="Heading2"/>
      </w:pPr>
      <w:r>
        <w:rPr>
          <w:rStyle w:val="SectionNumber"/>
          <w:rFonts w:ascii="Palatino Linotype" w:hAnsi="Palatino Linotype"/>
        </w:rPr>
        <w:t xml:space="preserve">3.6</w:t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 xml:space="preserve">Hazard Ablation</w:t>
      </w:r>
    </w:p>
    <w:p>
      <w:pPr>
        <w:pStyle w:val="FirstParagraph"/>
        <w:jc w:val="both"/>
      </w:pPr>
      <w:r>
        <w:rPr>
          <w:rFonts w:ascii="Palatino Linotype" w:hAnsi="Palatino Linotype"/>
          <w:sz w:val="20"/>
        </w:rPr>
        <w:t xml:space="preserve">Isolating dynamics layers reveals their contributions. Fire is the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dominant differentiator: it reduces A* to 0% while adaptive planners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retain 39–64%. Traffic alone also eliminates A* but has near-zero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marginal impact on Periodic and Aggressive—their replanning fully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mitigates obstacle blockages. Combined dynamics reduce all planners by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10–20 pp relative to fire alone, confirming non-additive layer interaction.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Road closures grow proportionally with fire (via the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interaction engine); debris accumulates after the collapse delay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(</w:t>
      </w:r>
      <m:oMath>
        <m:sSub>
          <m:e>
            <m:r>
              <m:t>τ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80</m:t>
        </m:r>
      </m:oMath>
      <w:r>
        <w:rPr>
          <w:rFonts w:ascii="Palatino Linotype" w:hAnsi="Palatino Linotype"/>
          <w:sz w:val="20"/>
        </w:rPr>
        <w:t xml:space="preserve">). Aggressive Replan’s timely detours maintain forward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progress; Periodic’s risk-averse strategy produces extended stalls—a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direct consequence of the</w:t>
      </w:r>
      <w:r>
        <w:rPr>
          <w:rFonts w:ascii="Palatino Linotype" w:hAnsi="Palatino Linotype"/>
          <w:sz w:val="20"/>
        </w:rPr>
        <w:t xml:space="preserve"> </w:t>
      </w:r>
      <m:oMath>
        <m:r>
          <m:t>ρ</m:t>
        </m:r>
      </m:oMath>
      <w:r>
        <w:rPr>
          <w:rFonts w:ascii="Palatino Linotype" w:hAnsi="Palatino Linotype"/>
          <w:sz w:val="20"/>
        </w:rPr>
        <w:t xml:space="preserve">–</w:t>
      </w:r>
      <m:oMath>
        <m:r>
          <m:t>t</m:t>
        </m:r>
      </m:oMath>
      <w:r>
        <w:rPr>
          <w:rFonts w:ascii="Palatino Linotype" w:hAnsi="Palatino Linotype"/>
          <w:sz w:val="20"/>
        </w:rPr>
        <w:t xml:space="preserve">–</w:t>
      </w:r>
      <m:oMath>
        <m:r>
          <m:t>M</m:t>
        </m:r>
      </m:oMath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coupling.</w:t>
      </w:r>
    </w:p>
    <w:bookmarkEnd w:id="57"/>
    <w:bookmarkEnd w:id="58"/>
    <w:bookmarkStart w:id="62" w:name="sec:discussion"/>
    <w:p>
      <w:pPr>
        <w:pStyle w:val="Heading1"/>
      </w:pPr>
      <w:r>
        <w:rPr>
          <w:rStyle w:val="SectionNumber"/>
          <w:rFonts w:ascii="Palatino Linotype" w:hAnsi="Palatino Linotype"/>
        </w:rPr>
        <w:t xml:space="preserve">4</w:t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 xml:space="preserve">Discussion</w:t>
      </w:r>
    </w:p>
    <w:bookmarkStart w:id="59" w:name="sec:shapley"/>
    <w:p>
      <w:pPr>
        <w:pStyle w:val="Heading2"/>
      </w:pPr>
      <w:r>
        <w:rPr>
          <w:rStyle w:val="SectionNumber"/>
          <w:rFonts w:ascii="Palatino Linotype" w:hAnsi="Palatino Linotype"/>
        </w:rPr>
        <w:t xml:space="preserve">4.1</w:t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 xml:space="preserve">Shapley Attribution</w:t>
      </w:r>
    </w:p>
    <w:p>
      <w:pPr>
        <w:pStyle w:val="FirstParagraph"/>
        <w:jc w:val="both"/>
      </w:pPr>
      <w:r>
        <w:rPr>
          <w:rFonts w:ascii="Palatino Linotype" w:hAnsi="Palatino Linotype"/>
          <w:sz w:val="20"/>
        </w:rPr>
        <w:t xml:space="preserve">Exact Shapley values 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over coalitions {fire, traffic,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collapse} confirm fire as the dominant hazard for all planners. Traffic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degrades A* (</w:t>
      </w:r>
      <m:oMath>
        <m:r>
          <m:t>ϕ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0.50</m:t>
        </m:r>
      </m:oMath>
      <w:r>
        <w:rPr>
          <w:rFonts w:ascii="Palatino Linotype" w:hAnsi="Palatino Linotype"/>
          <w:sz w:val="20"/>
        </w:rPr>
        <w:t xml:space="preserve">) and APF (</w:t>
      </w:r>
      <m:oMath>
        <m:r>
          <m:t>ϕ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0.25</m:t>
        </m:r>
      </m:oMath>
      <w:r>
        <w:rPr>
          <w:rFonts w:ascii="Palatino Linotype" w:hAnsi="Palatino Linotype"/>
          <w:sz w:val="20"/>
        </w:rPr>
        <w:t xml:space="preserve">) but has zero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marginal impact on Periodic and Aggressive—their replanning absorbs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obstacle blockages entirely. Collapse contributes near-zero marginal effect,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subsumed by the fire that triggers it.</w:t>
      </w:r>
    </w:p>
    <w:p>
      <w:pPr>
        <w:pStyle w:val="BodyText"/>
        <w:jc w:val="both"/>
      </w:pPr>
      <w:r>
        <w:rPr>
          <w:rFonts w:ascii="Palatino Linotype" w:hAnsi="Palatino Linotype"/>
          <w:sz w:val="20"/>
        </w:rPr>
        <w:t xml:space="preserve">In fire-dominated scenarios, the risk coefficient</w:t>
      </w:r>
      <w:r>
        <w:rPr>
          <w:rFonts w:ascii="Palatino Linotype" w:hAnsi="Palatino Linotype"/>
          <w:sz w:val="20"/>
        </w:rPr>
        <w:t xml:space="preserve"> </w:t>
      </w:r>
      <m:oMath>
        <m:r>
          <m:t>ρ</m:t>
        </m:r>
      </m:oMath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matters more than replanning frequency; in traffic-heavy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environments, any adaptive planner suffices.</w:t>
      </w:r>
    </w:p>
    <w:bookmarkEnd w:id="59"/>
    <w:bookmarkStart w:id="60" w:name="sec:knob"/>
    <w:p>
      <w:pPr>
        <w:pStyle w:val="Heading2"/>
      </w:pPr>
      <w:r>
        <w:rPr>
          <w:rStyle w:val="SectionNumber"/>
          <w:rFonts w:ascii="Palatino Linotype" w:hAnsi="Palatino Linotype"/>
        </w:rPr>
        <w:t xml:space="preserve">4.2</w:t>
      </w:r>
      <w:r>
        <w:rPr>
          <w:rFonts w:ascii="Palatino Linotype" w:hAnsi="Palatino Linotype"/>
        </w:rPr>
        <w:tab/>
      </w:r>
      <m:oMath>
        <m:r>
          <m:t>ρ</m:t>
        </m:r>
      </m:oMath>
      <w:r>
        <w:rPr>
          <w:rFonts w:ascii="Palatino Linotype" w:hAnsi="Palatino Linotype"/>
        </w:rPr>
        <w:t xml:space="preserve"> </w:t>
      </w:r>
      <w:r>
        <w:rPr>
          <w:rFonts w:ascii="Palatino Linotype" w:hAnsi="Palatino Linotype"/>
        </w:rPr>
        <w:t xml:space="preserve">as a Deployment Knob</w:t>
      </w:r>
    </w:p>
    <w:p>
      <w:pPr>
        <w:pStyle w:val="FirstParagraph"/>
        <w:jc w:val="both"/>
      </w:pPr>
      <w:r>
        <w:rPr>
          <w:rFonts w:ascii="Palatino Linotype" w:hAnsi="Palatino Linotype"/>
          <w:sz w:val="20"/>
        </w:rPr>
        <w:t xml:space="preserve">The ranking inversion establishes that no universal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“best planner”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exists. Instead,</w:t>
      </w:r>
      <w:r>
        <w:rPr>
          <w:rFonts w:ascii="Palatino Linotype" w:hAnsi="Palatino Linotype"/>
          <w:sz w:val="20"/>
        </w:rPr>
        <w:t xml:space="preserve"> </w:t>
      </w:r>
      <m:oMath>
        <m:r>
          <m:t>ρ</m:t>
        </m:r>
      </m:oMath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provides a principled deployment knob:</w:t>
      </w:r>
    </w:p>
    <w:p>
      <w:pPr>
        <w:numPr>
          <w:ilvl w:val="0"/>
          <w:numId w:val="1004"/>
        </w:numPr>
        <w:jc w:val="both"/>
      </w:pPr>
      <w:r>
        <w:rPr>
          <w:rFonts w:ascii="Palatino Linotype" w:hAnsi="Palatino Linotype"/>
          <w:b/>
          <w:bCs/>
          <w:sz w:val="20"/>
        </w:rPr>
        <w:t xml:space="preserve">Rescue / medication</w:t>
      </w:r>
      <w:r>
        <w:rPr>
          <w:rFonts w:ascii="Palatino Linotype" w:hAnsi="Palatino Linotype"/>
          <w:sz w:val="20"/>
        </w:rPr>
        <w:t xml:space="preserve">:</w:t>
      </w:r>
      <w:r>
        <w:rPr>
          <w:rFonts w:ascii="Palatino Linotype" w:hAnsi="Palatino Linotype"/>
          <w:sz w:val="20"/>
        </w:rPr>
        <w:t xml:space="preserve"> </w:t>
      </w:r>
      <m:oMath>
        <m:r>
          <m:t>ρ</m:t>
        </m:r>
        <m:r>
          <m:rPr>
            <m:sty m:val="p"/>
          </m:rPr>
          <m:t>≤</m:t>
        </m:r>
        <m:r>
          <m:t>0.5</m:t>
        </m:r>
      </m:oMath>
      <w:r>
        <w:rPr>
          <w:rFonts w:ascii="Palatino Linotype" w:hAnsi="Palatino Linotype"/>
          <w:sz w:val="20"/>
        </w:rPr>
        <w:t xml:space="preserve">. Minimise </w:t>
      </w:r>
      <m:oMath>
        <m:r>
          <m:t>t</m:t>
        </m:r>
      </m:oMath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to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maximise </w:t>
      </w:r>
      <m:oMath>
        <m:r>
          <m:t>M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ascii="Palatino Linotype" w:hAnsi="Palatino Linotype"/>
          <w:sz w:val="20"/>
        </w:rPr>
        <w:t xml:space="preserve">; accept higher collision probability.</w:t>
      </w:r>
    </w:p>
    <w:p>
      <w:pPr>
        <w:numPr>
          <w:ilvl w:val="0"/>
          <w:numId w:val="1004"/>
        </w:numPr>
        <w:jc w:val="both"/>
      </w:pPr>
      <w:r>
        <w:rPr>
          <w:rFonts w:ascii="Palatino Linotype" w:hAnsi="Palatino Linotype"/>
          <w:b/>
          <w:bCs/>
          <w:sz w:val="20"/>
        </w:rPr>
        <w:t xml:space="preserve">Surveillance</w:t>
      </w:r>
      <w:r>
        <w:rPr>
          <w:rFonts w:ascii="Palatino Linotype" w:hAnsi="Palatino Linotype"/>
          <w:sz w:val="20"/>
        </w:rPr>
        <w:t xml:space="preserve">:</w:t>
      </w:r>
      <w:r>
        <w:rPr>
          <w:rFonts w:ascii="Palatino Linotype" w:hAnsi="Palatino Linotype"/>
          <w:sz w:val="20"/>
        </w:rPr>
        <w:t xml:space="preserve"> </w:t>
      </w:r>
      <m:oMath>
        <m:r>
          <m:t>ρ</m:t>
        </m:r>
        <m:r>
          <m:rPr>
            <m:sty m:val="p"/>
          </m:rPr>
          <m:t>≥</m:t>
        </m:r>
        <m:r>
          <m:t>5.0</m:t>
        </m:r>
      </m:oMath>
      <w:r>
        <w:rPr>
          <w:rFonts w:ascii="Palatino Linotype" w:hAnsi="Palatino Linotype"/>
          <w:sz w:val="20"/>
        </w:rPr>
        <w:t xml:space="preserve">. Late data retains value;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collision yields</w:t>
      </w:r>
      <w:r>
        <w:rPr>
          <w:rFonts w:ascii="Palatino Linotype" w:hAnsi="Palatino Linotype"/>
          <w:sz w:val="20"/>
        </w:rP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rPr>
          <w:rFonts w:ascii="Palatino Linotype" w:hAnsi="Palatino Linotype"/>
          <w:sz w:val="20"/>
        </w:rPr>
        <w:t xml:space="preserve">.</w:t>
      </w:r>
    </w:p>
    <w:p>
      <w:pPr>
        <w:pStyle w:val="FirstParagraph"/>
        <w:jc w:val="both"/>
      </w:pPr>
      <w:r>
        <w:rPr>
          <w:rFonts w:ascii="Palatino Linotype" w:hAnsi="Palatino Linotype"/>
          <w:sz w:val="20"/>
        </w:rPr>
        <w:t xml:space="preserve">This reframes planner selection from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“which algorithm wins?”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to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“what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risk level does this mission warrant?”</w:t>
      </w:r>
      <w:r>
        <w:rPr>
          <w:rFonts w:ascii="Palatino Linotype" w:hAnsi="Palatino Linotype"/>
          <w:sz w:val="20"/>
        </w:rPr>
        <w:t xml:space="preserve">—a question FLARE makes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empirically answerable.</w:t>
      </w:r>
    </w:p>
    <w:bookmarkEnd w:id="60"/>
    <w:bookmarkStart w:id="61" w:name="sec:limitations"/>
    <w:p>
      <w:pPr>
        <w:pStyle w:val="Heading2"/>
      </w:pPr>
      <w:r>
        <w:rPr>
          <w:rStyle w:val="SectionNumber"/>
          <w:rFonts w:ascii="Palatino Linotype" w:hAnsi="Palatino Linotype"/>
        </w:rPr>
        <w:t xml:space="preserve">4.3</w:t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 xml:space="preserve">Limitations</w:t>
      </w:r>
    </w:p>
    <w:p>
      <w:pPr>
        <w:pStyle w:val="FirstParagraph"/>
        <w:jc w:val="both"/>
      </w:pPr>
      <w:r>
        <w:rPr>
          <w:rFonts w:ascii="Palatino Linotype" w:hAnsi="Palatino Linotype"/>
          <w:sz w:val="20"/>
        </w:rPr>
        <w:t xml:space="preserve">FLARE uses 2D grids without altitude or aerodynamics. The planners are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classical; the CA fire model is approximate. Three Athens scenarios provide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focused but not exhaustive coverage. Risk coefficients are fixed, not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adapted online. The inversion is not obvious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i/>
          <w:iCs/>
          <w:sz w:val="20"/>
        </w:rPr>
        <w:t xml:space="preserve">a priori</w:t>
      </w:r>
      <w:r>
        <w:rPr>
          <w:rFonts w:ascii="Palatino Linotype" w:hAnsi="Palatino Linotype"/>
          <w:sz w:val="20"/>
        </w:rPr>
        <w:t xml:space="preserve">: no prior benchmark includes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time-coupled scoring, and</w:t>
      </w:r>
      <w:r>
        <w:rPr>
          <w:rFonts w:ascii="Palatino Linotype" w:hAnsi="Palatino Linotype"/>
          <w:sz w:val="20"/>
        </w:rP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Δ</m:t>
        </m:r>
        <m:r>
          <m:rPr>
            <m:nor/>
            <m:sty m:val="p"/>
          </m:rPr>
          <m:t>Rank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3</m:t>
        </m:r>
      </m:oMath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is not predictable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without experiments. Nor is it parameter tuning:</w:t>
      </w:r>
      <w:r>
        <w:rPr>
          <w:rFonts w:ascii="Palatino Linotype" w:hAnsi="Palatino Linotype"/>
          <w:sz w:val="20"/>
        </w:rPr>
        <w:t xml:space="preserve"> </w:t>
      </w:r>
      <m:oMath>
        <m:r>
          <m:t>ρ</m:t>
        </m:r>
      </m:oMath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is a structural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property of each planner’s cost function. The inversion persists across all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three geographically distinct scenarios. These simplifications are deliberate: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the contribution is the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i/>
          <w:iCs/>
          <w:sz w:val="20"/>
        </w:rPr>
        <w:t xml:space="preserve">evaluation paradigm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and the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i/>
          <w:iCs/>
          <w:sz w:val="20"/>
        </w:rPr>
        <w:t xml:space="preserve">ranking-inversion finding</w:t>
      </w:r>
      <w:r>
        <w:rPr>
          <w:rFonts w:ascii="Palatino Linotype" w:hAnsi="Palatino Linotype"/>
          <w:sz w:val="20"/>
        </w:rPr>
        <w:t xml:space="preserve">, not the planners themselves.</w:t>
      </w:r>
    </w:p>
    <w:bookmarkEnd w:id="61"/>
    <w:bookmarkEnd w:id="62"/>
    <w:bookmarkStart w:id="70" w:name="sec:conclusions"/>
    <w:p>
      <w:pPr>
        <w:pStyle w:val="Heading1"/>
      </w:pPr>
      <w:r>
        <w:rPr>
          <w:rStyle w:val="SectionNumber"/>
          <w:rFonts w:ascii="Palatino Linotype" w:hAnsi="Palatino Linotype"/>
        </w:rPr>
        <w:t xml:space="preserve">5</w:t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 xml:space="preserve">Conclusions</w:t>
      </w:r>
    </w:p>
    <w:p>
      <w:pPr>
        <w:pStyle w:val="FirstParagraph"/>
        <w:jc w:val="both"/>
      </w:pPr>
      <w:r>
        <w:rPr>
          <w:rFonts w:ascii="Palatino Linotype" w:hAnsi="Palatino Linotype"/>
          <w:sz w:val="20"/>
        </w:rPr>
        <w:t xml:space="preserve">We presented FLARE, a benchmark that answers a question conventional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evaluations cannot pose: does the best navigator also rescue most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effectively? Across 450 episodes on three Greek wildfire scenarios, the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answer is no. The planner with the highest survival probability ranks last in</w:t>
      </w:r>
      <w:r>
        <w:rPr>
          <w:rFonts w:ascii="Palatino Linotype" w:hAnsi="Palatino Linotype"/>
          <w:sz w:val="20"/>
        </w:rPr>
        <w:t xml:space="preserve"> </w:t>
      </w:r>
      <m:oMath>
        <m:r>
          <m:t>M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because its detours increase </w:t>
      </w:r>
      <m:oMath>
        <m:r>
          <m:t>t</m:t>
        </m:r>
      </m:oMath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beyond the point where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delivery retains value. A risk-tolerant planner achieves the highest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mission score despite ranking third in navigation (Friedman</w:t>
      </w:r>
      <w:r>
        <w:rPr>
          <w:rFonts w:ascii="Palatino Linotype" w:hAnsi="Palatino Linotype"/>
          <w:sz w:val="20"/>
        </w:rP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rPr>
          <w:rFonts w:ascii="Palatino Linotype" w:hAnsi="Palatino Linotype"/>
          <w:sz w:val="20"/>
        </w:rPr>
        <w:t xml:space="preserve">).</w:t>
      </w:r>
    </w:p>
    <w:p>
      <w:pPr>
        <w:pStyle w:val="BodyText"/>
        <w:jc w:val="both"/>
      </w:pPr>
      <w:r>
        <w:rPr>
          <w:rFonts w:ascii="Palatino Linotype" w:hAnsi="Palatino Linotype"/>
          <w:sz w:val="20"/>
        </w:rPr>
        <w:t xml:space="preserve">This finding—the ranking inversion—demonstrates that navigation success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rate is not merely incomplete but actively misleading for time-critical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operations: it rewards the wrong planner. The implication is a paradigm shift: from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evaluating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i/>
          <w:iCs/>
          <w:sz w:val="20"/>
        </w:rPr>
        <w:t xml:space="preserve">whether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planners succeed to evaluating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i/>
          <w:iCs/>
          <w:sz w:val="20"/>
        </w:rPr>
        <w:t xml:space="preserve">when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they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deliver. The risk coefficient provides the deployment knob; FLARE provides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the evaluation platform. Both are open-source.</w:t>
      </w:r>
    </w:p>
    <w:p>
      <w:pPr>
        <w:pStyle w:val="BodyText"/>
        <w:jc w:val="both"/>
      </w:pPr>
      <w:r>
        <w:rPr>
          <w:rFonts w:ascii="Palatino Linotype" w:hAnsi="Palatino Linotype"/>
          <w:sz w:val="20"/>
        </w:rPr>
        <w:t xml:space="preserve">Code and data:</w:t>
      </w:r>
      <w:r>
        <w:rPr>
          <w:rFonts w:ascii="Palatino Linotype" w:hAnsi="Palatino Linotype"/>
          <w:sz w:val="20"/>
        </w:rPr>
        <w:t xml:space="preserve"> </w:t>
      </w:r>
      <w:hyperlink r:id="rId63">
        <w:r>
          <w:rPr>
            <w:rStyle w:val="Hyperlink"/>
          </w:rPr>
          <w:t xml:space="preserve">https://github.com/zervakisai/uavplan</w:t>
        </w:r>
      </w:hyperlink>
      <w:r>
        <w:rPr>
          <w:rFonts w:ascii="Palatino Linotype" w:hAnsi="Palatino Linotype"/>
          <w:sz w:val="20"/>
        </w:rPr>
        <w:t xml:space="preserve">.</w:t>
      </w:r>
    </w:p>
    <w:bookmarkStart w:id="64" w:name="author-contributions"/>
    <w:p>
      <w:pPr>
        <w:pStyle w:val="Heading2"/>
      </w:pPr>
      <w:r>
        <w:rPr>
          <w:rFonts w:ascii="Palatino Linotype" w:hAnsi="Palatino Linotype"/>
        </w:rPr>
        <w:t xml:space="preserve">Author Contributions</w:t>
      </w:r>
    </w:p>
    <w:p>
      <w:pPr>
        <w:pStyle w:val="FirstParagraph"/>
        <w:jc w:val="both"/>
      </w:pPr>
      <w:r>
        <w:rPr>
          <w:rFonts w:ascii="Palatino Linotype" w:hAnsi="Palatino Linotype"/>
          <w:sz w:val="20"/>
        </w:rPr>
        <w:t xml:space="preserve">Conceptualization, K.Z. and E.P.; methodology, K.Z.; software, K.Z.; validation, K.Z. and E.P.; formal analysis, K.Z.; investigation, K.Z.; resources, K.Z.; data curation, K.Z.; writing—original draft preparation, K.Z.; writing—review and editing, K.Z. and E.P.; visualization, K.Z.; supervision, E.P.; project administration, K.Z. All authors have read and agreed to the published version of the manuscript.</w:t>
      </w:r>
    </w:p>
    <w:bookmarkEnd w:id="64"/>
    <w:bookmarkStart w:id="65" w:name="funding"/>
    <w:p>
      <w:pPr>
        <w:pStyle w:val="Heading2"/>
      </w:pPr>
      <w:r>
        <w:rPr>
          <w:rFonts w:ascii="Palatino Linotype" w:hAnsi="Palatino Linotype"/>
        </w:rPr>
        <w:t xml:space="preserve">Funding</w:t>
      </w:r>
    </w:p>
    <w:p>
      <w:pPr>
        <w:pStyle w:val="FirstParagraph"/>
        <w:jc w:val="both"/>
      </w:pPr>
      <w:r>
        <w:rPr>
          <w:rFonts w:ascii="Palatino Linotype" w:hAnsi="Palatino Linotype"/>
          <w:sz w:val="20"/>
        </w:rPr>
        <w:t xml:space="preserve">This research received no external funding.</w:t>
      </w:r>
    </w:p>
    <w:bookmarkEnd w:id="65"/>
    <w:bookmarkStart w:id="66" w:name="data-availability-statement"/>
    <w:p>
      <w:pPr>
        <w:pStyle w:val="Heading2"/>
      </w:pPr>
      <w:r>
        <w:rPr>
          <w:rFonts w:ascii="Palatino Linotype" w:hAnsi="Palatino Linotype"/>
        </w:rPr>
        <w:t xml:space="preserve">Data Availability Statement</w:t>
      </w:r>
    </w:p>
    <w:p>
      <w:pPr>
        <w:pStyle w:val="FirstParagraph"/>
        <w:jc w:val="both"/>
      </w:pPr>
      <w:r>
        <w:rPr>
          <w:rFonts w:ascii="Palatino Linotype" w:hAnsi="Palatino Linotype"/>
          <w:sz w:val="20"/>
        </w:rPr>
        <w:t xml:space="preserve">The benchmark code, scenario configurations, and full experimental results are publicly available at</w:t>
      </w:r>
      <w:r>
        <w:rPr>
          <w:rFonts w:ascii="Palatino Linotype" w:hAnsi="Palatino Linotype"/>
          <w:sz w:val="20"/>
        </w:rPr>
        <w:t xml:space="preserve"> </w:t>
      </w:r>
      <w:hyperlink r:id="rId63">
        <w:r>
          <w:rPr>
            <w:rStyle w:val="Hyperlink"/>
          </w:rPr>
          <w:t xml:space="preserve">https://github.com/zervakisai/uavplan</w:t>
        </w:r>
      </w:hyperlink>
      <w:r>
        <w:rPr>
          <w:rFonts w:ascii="Palatino Linotype" w:hAnsi="Palatino Linotype"/>
          <w:sz w:val="20"/>
        </w:rPr>
        <w:t xml:space="preserve">. Map data are derived from OpenStreetMap 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under the Open Database License (ODbL).</w:t>
      </w:r>
    </w:p>
    <w:bookmarkEnd w:id="66"/>
    <w:bookmarkStart w:id="67" w:name="acknowledgments"/>
    <w:p>
      <w:pPr>
        <w:pStyle w:val="Heading2"/>
      </w:pPr>
      <w:r>
        <w:rPr>
          <w:rFonts w:ascii="Palatino Linotype" w:hAnsi="Palatino Linotype"/>
        </w:rPr>
        <w:t xml:space="preserve">Acknowledgments</w:t>
      </w:r>
    </w:p>
    <w:p>
      <w:pPr>
        <w:pStyle w:val="FirstParagraph"/>
        <w:jc w:val="both"/>
      </w:pPr>
      <w:r>
        <w:rPr>
          <w:rFonts w:ascii="Palatino Linotype" w:hAnsi="Palatino Linotype"/>
          <w:sz w:val="20"/>
        </w:rPr>
        <w:t xml:space="preserve">Map data © OpenStreetMap contributors (ODbL). Scenarios inspired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by the 2021 Evia wildfire </w:t>
      </w:r>
      <w:r>
        <w:rPr>
          <w:rFonts w:ascii="Palatino Linotype" w:hAnsi="Palatino Linotype"/>
          <w:sz w:val="20"/>
        </w:rPr>
        <w:t xml:space="preserve">, 2023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Rhodes fires </w:t>
      </w:r>
      <w:r>
        <w:rPr>
          <w:rFonts w:ascii="Palatino Linotype" w:hAnsi="Palatino Linotype"/>
          <w:sz w:val="20"/>
        </w:rPr>
        <w:t xml:space="preserve">, and 2023 Evros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megafire </w:t>
      </w:r>
      <w:r>
        <w:rPr>
          <w:rFonts w:ascii="Palatino Linotype" w:hAnsi="Palatino Linotype"/>
          <w:sz w:val="20"/>
        </w:rPr>
        <w:t xml:space="preserve">. Data from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EFFIS 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and Copernicus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EMS </w:t>
      </w:r>
      <w:r>
        <w:rPr>
          <w:rFonts w:ascii="Palatino Linotype" w:hAnsi="Palatino Linotype"/>
          <w:sz w:val="20"/>
        </w:rPr>
        <w:t xml:space="preserve">.</w:t>
      </w:r>
    </w:p>
    <w:bookmarkEnd w:id="67"/>
    <w:bookmarkStart w:id="68" w:name="conflicts-of-interest"/>
    <w:p>
      <w:pPr>
        <w:pStyle w:val="Heading2"/>
      </w:pPr>
      <w:r>
        <w:rPr>
          <w:rFonts w:ascii="Palatino Linotype" w:hAnsi="Palatino Linotype"/>
        </w:rPr>
        <w:t xml:space="preserve">Conflicts of Interest</w:t>
      </w:r>
    </w:p>
    <w:p>
      <w:pPr>
        <w:pStyle w:val="FirstParagraph"/>
        <w:jc w:val="both"/>
      </w:pPr>
      <w:r>
        <w:rPr>
          <w:rFonts w:ascii="Palatino Linotype" w:hAnsi="Palatino Linotype"/>
          <w:sz w:val="20"/>
        </w:rPr>
        <w:t xml:space="preserve">The authors declare no conflicts of interest.</w:t>
      </w:r>
    </w:p>
    <w:bookmarkEnd w:id="68"/>
    <w:bookmarkStart w:id="69" w:name="abbreviations"/>
    <w:p>
      <w:pPr>
        <w:pStyle w:val="Heading2"/>
      </w:pPr>
      <w:r>
        <w:rPr>
          <w:rFonts w:ascii="Palatino Linotype" w:hAnsi="Palatino Linotype"/>
        </w:rPr>
        <w:t xml:space="preserve">Abbreviations</w:t>
      </w:r>
    </w:p>
    <w:p>
      <w:pPr>
        <w:pStyle w:val="FirstParagraph"/>
        <w:jc w:val="both"/>
      </w:pPr>
      <w:r>
        <w:rPr>
          <w:rFonts w:ascii="Palatino Linotype" w:hAnsi="Palatino Linotype"/>
          <w:sz w:val="20"/>
        </w:rPr>
        <w:t xml:space="preserve">The following abbreviations are used in this manuscript:</w:t>
      </w:r>
      <w:r>
        <w:rPr>
          <w:rFonts w:ascii="Palatino Linotype" w:hAnsi="Palatino Linotype"/>
          <w:sz w:val="20"/>
        </w:rPr>
        <w:br/>
      </w:r>
    </w:p>
    <w:tbl>
      <w:tblPr>
        <w:tblStyle w:val="Table"/>
        <w:tblW w:type="auto" w:w="0"/>
        <w:jc w:val="center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sz w:val="18"/>
              </w:rPr>
              <w:t xml:space="preserve">UAV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sz w:val="18"/>
              </w:rPr>
              <w:t xml:space="preserve">Unmanned Aerial Vehicle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sz w:val="18"/>
              </w:rPr>
              <w:t xml:space="preserve">FLARE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sz w:val="18"/>
              </w:rPr>
              <w:t xml:space="preserve">Fire-Landscape Adaptive Risk Evaluation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sz w:val="18"/>
              </w:rPr>
              <w:t xml:space="preserve">SR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sz w:val="18"/>
              </w:rPr>
              <w:t xml:space="preserve">Success Rate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sz w:val="18"/>
              </w:rPr>
              <w:t xml:space="preserve">IQM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sz w:val="18"/>
              </w:rPr>
              <w:t xml:space="preserve">Interquartile Mean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sz w:val="18"/>
              </w:rPr>
              <w:t xml:space="preserve">CI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sz w:val="18"/>
              </w:rPr>
              <w:t xml:space="preserve">Confidence Interval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sz w:val="18"/>
              </w:rPr>
              <w:t xml:space="preserve">CA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sz w:val="18"/>
              </w:rPr>
              <w:t xml:space="preserve">Cellular Automaton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sz w:val="18"/>
              </w:rPr>
              <w:t xml:space="preserve">APF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sz w:val="18"/>
              </w:rPr>
              <w:t xml:space="preserve">Artificial Potential Field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sz w:val="18"/>
              </w:rPr>
              <w:t xml:space="preserve">OSM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sz w:val="18"/>
              </w:rPr>
              <w:t xml:space="preserve">OpenStreetMap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sz w:val="18"/>
              </w:rPr>
              <w:t xml:space="preserve">NFZ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sz w:val="18"/>
              </w:rPr>
              <w:t xml:space="preserve">No-Fly Zone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sz w:val="18"/>
              </w:rPr>
              <w:t xml:space="preserve">RNG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sz w:val="18"/>
              </w:rPr>
              <w:t xml:space="preserve">Random Number Generator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sz w:val="18"/>
              </w:rPr>
              <w:t xml:space="preserve">WUI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rFonts w:ascii="Palatino Linotype" w:hAnsi="Palatino Linotype"/>
                <w:sz w:val="18"/>
              </w:rPr>
              <w:t xml:space="preserve">Wildland–Urban Interface</w:t>
            </w:r>
          </w:p>
        </w:tc>
      </w:tr>
    </w:tbl>
    <w:p>
      <w:pPr>
        <w:pStyle w:val="BodyText"/>
        <w:jc w:val="both"/>
      </w:pPr>
      <w:r>
        <w:rPr>
          <w:rFonts w:ascii="Palatino Linotype" w:hAnsi="Palatino Linotype"/>
          <w:sz w:val="20"/>
        </w:rPr>
        <w:t xml:space="preserve">10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url@samestyle</w:t>
      </w:r>
    </w:p>
    <w:p>
      <w:pPr>
        <w:pStyle w:val="BodyText"/>
        <w:jc w:val="both"/>
      </w:pPr>
      <w:r>
        <w:rPr>
          <w:rFonts w:ascii="Palatino Linotype" w:hAnsi="Palatino Linotype"/>
          <w:sz w:val="20"/>
        </w:rPr>
        <w:t xml:space="preserve">M. Erdelj, E. Natalizio, K. R. Chowdhury, and I. F. Akyildiz,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“Help from the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sky: Leveraging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UAVs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for disaster management,”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i/>
          <w:iCs/>
          <w:sz w:val="20"/>
        </w:rPr>
        <w:t xml:space="preserve">IEEE Pervasive</w:t>
      </w:r>
      <w:r>
        <w:rPr>
          <w:rFonts w:ascii="Palatino Linotype" w:hAnsi="Palatino Linotype"/>
          <w:i/>
          <w:iCs/>
          <w:sz w:val="20"/>
        </w:rPr>
        <w:t xml:space="preserve"> </w:t>
      </w:r>
      <w:r>
        <w:rPr>
          <w:rFonts w:ascii="Palatino Linotype" w:hAnsi="Palatino Linotype"/>
          <w:i/>
          <w:iCs/>
          <w:sz w:val="20"/>
        </w:rPr>
        <w:t xml:space="preserve">Computing</w:t>
      </w:r>
      <w:r>
        <w:rPr>
          <w:rFonts w:ascii="Palatino Linotype" w:hAnsi="Palatino Linotype"/>
          <w:sz w:val="20"/>
        </w:rPr>
        <w:t xml:space="preserve">, vol. 16, no. 1, pp. 24–32, 2017.</w:t>
      </w:r>
    </w:p>
    <w:p>
      <w:pPr>
        <w:pStyle w:val="BodyText"/>
        <w:jc w:val="both"/>
      </w:pPr>
      <w:r>
        <w:rPr>
          <w:rFonts w:ascii="Palatino Linotype" w:hAnsi="Palatino Linotype"/>
          <w:sz w:val="20"/>
        </w:rPr>
        <w:t xml:space="preserve">C. Yuan, Y. Zhang, and Z. Liu,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“A survey on technologies for automatic forest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fire monitoring, detection, and fighting using unmanned aerial vehicles and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remote sensing techniques,”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i/>
          <w:iCs/>
          <w:sz w:val="20"/>
        </w:rPr>
        <w:t xml:space="preserve">Canadian Journal of Forest Research</w:t>
      </w:r>
      <w:r>
        <w:rPr>
          <w:rFonts w:ascii="Palatino Linotype" w:hAnsi="Palatino Linotype"/>
          <w:sz w:val="20"/>
        </w:rPr>
        <w:t xml:space="preserve">,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vol. 45, no. 7, pp. 783–792, 2015.</w:t>
      </w:r>
    </w:p>
    <w:p>
      <w:pPr>
        <w:pStyle w:val="BodyText"/>
        <w:jc w:val="both"/>
      </w:pPr>
      <w:r>
        <w:rPr>
          <w:rFonts w:ascii="Palatino Linotype" w:hAnsi="Palatino Linotype"/>
          <w:sz w:val="20"/>
        </w:rPr>
        <w:t xml:space="preserve">G. Yücesoy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i/>
          <w:iCs/>
          <w:sz w:val="20"/>
        </w:rPr>
        <w:t xml:space="preserve">et al.</w:t>
      </w:r>
      <w:r>
        <w:rPr>
          <w:rFonts w:ascii="Palatino Linotype" w:hAnsi="Palatino Linotype"/>
          <w:sz w:val="20"/>
        </w:rPr>
        <w:t xml:space="preserve">,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“The role of drones in disaster response: A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literature review of operations research applications,”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i/>
          <w:iCs/>
          <w:sz w:val="20"/>
        </w:rPr>
        <w:t xml:space="preserve">International</w:t>
      </w:r>
      <w:r>
        <w:rPr>
          <w:rFonts w:ascii="Palatino Linotype" w:hAnsi="Palatino Linotype"/>
          <w:i/>
          <w:iCs/>
          <w:sz w:val="20"/>
        </w:rPr>
        <w:t xml:space="preserve"> </w:t>
      </w:r>
      <w:r>
        <w:rPr>
          <w:rFonts w:ascii="Palatino Linotype" w:hAnsi="Palatino Linotype"/>
          <w:i/>
          <w:iCs/>
          <w:sz w:val="20"/>
        </w:rPr>
        <w:t xml:space="preserve">Transactions in Operational Research</w:t>
      </w:r>
      <w:r>
        <w:rPr>
          <w:rFonts w:ascii="Palatino Linotype" w:hAnsi="Palatino Linotype"/>
          <w:sz w:val="20"/>
        </w:rPr>
        <w:t xml:space="preserve">, 2025.</w:t>
      </w:r>
    </w:p>
    <w:p>
      <w:pPr>
        <w:pStyle w:val="BodyText"/>
        <w:jc w:val="both"/>
      </w:pPr>
      <w:r>
        <w:rPr>
          <w:rFonts w:ascii="Palatino Linotype" w:hAnsi="Palatino Linotype"/>
          <w:sz w:val="20"/>
        </w:rPr>
        <w:t xml:space="preserve">Z. Siddiqui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i/>
          <w:iCs/>
          <w:sz w:val="20"/>
        </w:rPr>
        <w:t xml:space="preserve">et al.</w:t>
      </w:r>
      <w:r>
        <w:rPr>
          <w:rFonts w:ascii="Palatino Linotype" w:hAnsi="Palatino Linotype"/>
          <w:sz w:val="20"/>
        </w:rPr>
        <w:t xml:space="preserve">,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“A systematic literature review of drones in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emergency medicine: Practical applications, legal challenges, and future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directions,”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i/>
          <w:iCs/>
          <w:sz w:val="20"/>
        </w:rPr>
        <w:t xml:space="preserve">Drone Systems and Applications</w:t>
      </w:r>
      <w:r>
        <w:rPr>
          <w:rFonts w:ascii="Palatino Linotype" w:hAnsi="Palatino Linotype"/>
          <w:sz w:val="20"/>
        </w:rPr>
        <w:t xml:space="preserve">, 2024.</w:t>
      </w:r>
    </w:p>
    <w:p>
      <w:pPr>
        <w:pStyle w:val="BodyText"/>
        <w:jc w:val="both"/>
      </w:pPr>
      <w:r>
        <w:rPr>
          <w:rFonts w:ascii="Palatino Linotype" w:hAnsi="Palatino Linotype"/>
          <w:sz w:val="20"/>
        </w:rPr>
        <w:t xml:space="preserve">A. Moustafa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i/>
          <w:iCs/>
          <w:sz w:val="20"/>
        </w:rPr>
        <w:t xml:space="preserve">et al.</w:t>
      </w:r>
      <w:r>
        <w:rPr>
          <w:rFonts w:ascii="Palatino Linotype" w:hAnsi="Palatino Linotype"/>
          <w:sz w:val="20"/>
        </w:rPr>
        <w:t xml:space="preserve">,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“Advances in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UAV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path planning: A comprehensive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review of methods, challenges, and future directions,”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i/>
          <w:iCs/>
          <w:sz w:val="20"/>
        </w:rPr>
        <w:t xml:space="preserve">Drones</w:t>
      </w:r>
      <w:r>
        <w:rPr>
          <w:rFonts w:ascii="Palatino Linotype" w:hAnsi="Palatino Linotype"/>
          <w:sz w:val="20"/>
        </w:rPr>
        <w:t xml:space="preserve">,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vol. 9, no. 5, p. 376, 2025.</w:t>
      </w:r>
    </w:p>
    <w:p>
      <w:pPr>
        <w:pStyle w:val="BodyText"/>
        <w:jc w:val="both"/>
      </w:pPr>
      <w:r>
        <w:rPr>
          <w:rFonts w:ascii="Palatino Linotype" w:hAnsi="Palatino Linotype"/>
          <w:sz w:val="20"/>
        </w:rPr>
        <w:t xml:space="preserve">A. Dradoum, A. Khelassi, and F. Lachekhab,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“Intelligent path planning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algorithms for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UAVs</w:t>
      </w:r>
      <w:r>
        <w:rPr>
          <w:rFonts w:ascii="Palatino Linotype" w:hAnsi="Palatino Linotype"/>
          <w:sz w:val="20"/>
        </w:rPr>
        <w:t xml:space="preserve">: Classification, complexity analysis, hybrid ablation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insights, and future directions,”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i/>
          <w:iCs/>
          <w:sz w:val="20"/>
        </w:rPr>
        <w:t xml:space="preserve">Advances in Mechanical Engineering</w:t>
      </w:r>
      <w:r>
        <w:rPr>
          <w:rFonts w:ascii="Palatino Linotype" w:hAnsi="Palatino Linotype"/>
          <w:sz w:val="20"/>
        </w:rPr>
        <w:t xml:space="preserve">,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2025.</w:t>
      </w:r>
    </w:p>
    <w:p>
      <w:pPr>
        <w:pStyle w:val="BodyText"/>
        <w:jc w:val="both"/>
      </w:pPr>
      <w:r>
        <w:rPr>
          <w:rFonts w:ascii="Palatino Linotype" w:hAnsi="Palatino Linotype"/>
          <w:sz w:val="20"/>
        </w:rPr>
        <w:t xml:space="preserve">S. Aggarwal and N. Kumar,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“Path planning techniques for unmanned aerial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vehicles: A review, solutions, and challenges,”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i/>
          <w:iCs/>
          <w:sz w:val="20"/>
        </w:rPr>
        <w:t xml:space="preserve">Computer</w:t>
      </w:r>
      <w:r>
        <w:rPr>
          <w:rFonts w:ascii="Palatino Linotype" w:hAnsi="Palatino Linotype"/>
          <w:i/>
          <w:iCs/>
          <w:sz w:val="20"/>
        </w:rPr>
        <w:t xml:space="preserve"> </w:t>
      </w:r>
      <w:r>
        <w:rPr>
          <w:rFonts w:ascii="Palatino Linotype" w:hAnsi="Palatino Linotype"/>
          <w:i/>
          <w:iCs/>
          <w:sz w:val="20"/>
        </w:rPr>
        <w:t xml:space="preserve">Communications</w:t>
      </w:r>
      <w:r>
        <w:rPr>
          <w:rFonts w:ascii="Palatino Linotype" w:hAnsi="Palatino Linotype"/>
          <w:sz w:val="20"/>
        </w:rPr>
        <w:t xml:space="preserve">, vol. 149, pp. 270–299, 2020.</w:t>
      </w:r>
    </w:p>
    <w:p>
      <w:pPr>
        <w:pStyle w:val="BodyText"/>
        <w:jc w:val="both"/>
      </w:pPr>
      <w:r>
        <w:rPr>
          <w:rFonts w:ascii="Palatino Linotype" w:hAnsi="Palatino Linotype"/>
          <w:sz w:val="20"/>
        </w:rPr>
        <w:t xml:space="preserve">Y. Zhao, Z. Zheng, and Y. Liu,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“Survey on computational-intelligence-based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UAV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path planning,”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i/>
          <w:iCs/>
          <w:sz w:val="20"/>
        </w:rPr>
        <w:t xml:space="preserve">Knowledge-Based Systems</w:t>
      </w:r>
      <w:r>
        <w:rPr>
          <w:rFonts w:ascii="Palatino Linotype" w:hAnsi="Palatino Linotype"/>
          <w:sz w:val="20"/>
        </w:rPr>
        <w:t xml:space="preserve">, vol. 158, pp. 54–64,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2018.</w:t>
      </w:r>
    </w:p>
    <w:p>
      <w:pPr>
        <w:pStyle w:val="BodyText"/>
        <w:jc w:val="both"/>
      </w:pPr>
      <w:r>
        <w:rPr>
          <w:rFonts w:ascii="Palatino Linotype" w:hAnsi="Palatino Linotype"/>
          <w:sz w:val="20"/>
        </w:rPr>
        <w:t xml:space="preserve">P. Henderson, R. Islam, P. Bachman, J. Pineau, D. Precup, and D. Meger,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“Deep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reinforcement learning that matters,”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in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i/>
          <w:iCs/>
          <w:sz w:val="20"/>
        </w:rPr>
        <w:t xml:space="preserve">Proceedings of the 32nd AAAI</w:t>
      </w:r>
      <w:r>
        <w:rPr>
          <w:rFonts w:ascii="Palatino Linotype" w:hAnsi="Palatino Linotype"/>
          <w:i/>
          <w:iCs/>
          <w:sz w:val="20"/>
        </w:rPr>
        <w:t xml:space="preserve"> </w:t>
      </w:r>
      <w:r>
        <w:rPr>
          <w:rFonts w:ascii="Palatino Linotype" w:hAnsi="Palatino Linotype"/>
          <w:i/>
          <w:iCs/>
          <w:sz w:val="20"/>
        </w:rPr>
        <w:t xml:space="preserve">Conference on Artificial Intelligence</w:t>
      </w:r>
      <w:r>
        <w:rPr>
          <w:rFonts w:ascii="Palatino Linotype" w:hAnsi="Palatino Linotype"/>
          <w:sz w:val="20"/>
        </w:rPr>
        <w:t xml:space="preserve">, 2018.</w:t>
      </w:r>
    </w:p>
    <w:p>
      <w:pPr>
        <w:pStyle w:val="BodyText"/>
        <w:jc w:val="both"/>
      </w:pPr>
      <w:r>
        <w:rPr>
          <w:rFonts w:ascii="Palatino Linotype" w:hAnsi="Palatino Linotype"/>
          <w:sz w:val="20"/>
        </w:rPr>
        <w:t xml:space="preserve">R. Agarwal, M. Schwarzer, P. S. Castro, A. Courville, and M. G. Bellemare,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“Deep reinforcement learning at the edge of the statistical precipice,”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in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i/>
          <w:iCs/>
          <w:sz w:val="20"/>
        </w:rPr>
        <w:t xml:space="preserve">Advances in Neural Information Processing Systems</w:t>
      </w:r>
      <w:r>
        <w:rPr>
          <w:rFonts w:ascii="Palatino Linotype" w:hAnsi="Palatino Linotype"/>
          <w:sz w:val="20"/>
        </w:rPr>
        <w:t xml:space="preserve">, vol. 34, 2021.</w:t>
      </w:r>
    </w:p>
    <w:p>
      <w:pPr>
        <w:pStyle w:val="BodyText"/>
        <w:jc w:val="both"/>
      </w:pPr>
      <w:r>
        <w:rPr>
          <w:rFonts w:ascii="Palatino Linotype" w:hAnsi="Palatino Linotype"/>
          <w:sz w:val="20"/>
        </w:rPr>
        <w:t xml:space="preserve">A. Alexandridis, D. Vakalis, C. I. Siettos, and G. V. Bafas,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“A cellular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automata model for forest fire spread prediction: The case of the wildfire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that swept through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Spetses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island in 1990,”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i/>
          <w:iCs/>
          <w:sz w:val="20"/>
        </w:rPr>
        <w:t xml:space="preserve">Applied Mathematics and</w:t>
      </w:r>
      <w:r>
        <w:rPr>
          <w:rFonts w:ascii="Palatino Linotype" w:hAnsi="Palatino Linotype"/>
          <w:i/>
          <w:iCs/>
          <w:sz w:val="20"/>
        </w:rPr>
        <w:t xml:space="preserve"> </w:t>
      </w:r>
      <w:r>
        <w:rPr>
          <w:rFonts w:ascii="Palatino Linotype" w:hAnsi="Palatino Linotype"/>
          <w:i/>
          <w:iCs/>
          <w:sz w:val="20"/>
        </w:rPr>
        <w:t xml:space="preserve">Computation</w:t>
      </w:r>
      <w:r>
        <w:rPr>
          <w:rFonts w:ascii="Palatino Linotype" w:hAnsi="Palatino Linotype"/>
          <w:sz w:val="20"/>
        </w:rPr>
        <w:t xml:space="preserve">, vol. 204, no. 1, pp. 191–201, 2008.</w:t>
      </w:r>
    </w:p>
    <w:p>
      <w:pPr>
        <w:pStyle w:val="BodyText"/>
        <w:jc w:val="both"/>
      </w:pPr>
      <w:r>
        <w:rPr>
          <w:rFonts w:ascii="Palatino Linotype" w:hAnsi="Palatino Linotype"/>
          <w:sz w:val="20"/>
        </w:rPr>
        <w:t xml:space="preserve">J. Demšar,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“Statistical comparisons of classifiers over multiple data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sets,”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i/>
          <w:iCs/>
          <w:sz w:val="20"/>
        </w:rPr>
        <w:t xml:space="preserve">Journal of Machine Learning Research</w:t>
      </w:r>
      <w:r>
        <w:rPr>
          <w:rFonts w:ascii="Palatino Linotype" w:hAnsi="Palatino Linotype"/>
          <w:sz w:val="20"/>
        </w:rPr>
        <w:t xml:space="preserve">, vol. 7, pp. 1–30, 2006.</w:t>
      </w:r>
    </w:p>
    <w:p>
      <w:pPr>
        <w:pStyle w:val="BodyText"/>
        <w:jc w:val="both"/>
      </w:pPr>
      <w:r>
        <w:rPr>
          <w:rFonts w:ascii="Palatino Linotype" w:hAnsi="Palatino Linotype"/>
          <w:sz w:val="20"/>
        </w:rPr>
        <w:t xml:space="preserve">E. D. Dolan and J. J. Moré,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“Benchmarking optimization software with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performance profiles,”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i/>
          <w:iCs/>
          <w:sz w:val="20"/>
        </w:rPr>
        <w:t xml:space="preserve">Mathematical Programming</w:t>
      </w:r>
      <w:r>
        <w:rPr>
          <w:rFonts w:ascii="Palatino Linotype" w:hAnsi="Palatino Linotype"/>
          <w:sz w:val="20"/>
        </w:rPr>
        <w:t xml:space="preserve">, vol. 91, no. 2, pp.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201–213, 2002.</w:t>
      </w:r>
    </w:p>
    <w:p>
      <w:pPr>
        <w:pStyle w:val="BodyText"/>
        <w:jc w:val="both"/>
      </w:pPr>
      <w:r>
        <w:rPr>
          <w:rFonts w:ascii="Palatino Linotype" w:hAnsi="Palatino Linotype"/>
          <w:sz w:val="20"/>
        </w:rPr>
        <w:t xml:space="preserve">M. Towers, A. Kwiatkowski, J. K. Terry, J. U. Balis, G. De Cola, T. Deleu,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M. Goulão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i/>
          <w:iCs/>
          <w:sz w:val="20"/>
        </w:rPr>
        <w:t xml:space="preserve">et al.</w:t>
      </w:r>
      <w:r>
        <w:rPr>
          <w:rFonts w:ascii="Palatino Linotype" w:hAnsi="Palatino Linotype"/>
          <w:sz w:val="20"/>
        </w:rPr>
        <w:t xml:space="preserve">,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“Gymnasium: A standard interface for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reinforcement learning environments,”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in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i/>
          <w:iCs/>
          <w:sz w:val="20"/>
        </w:rPr>
        <w:t xml:space="preserve">Advances in Neural</w:t>
      </w:r>
      <w:r>
        <w:rPr>
          <w:rFonts w:ascii="Palatino Linotype" w:hAnsi="Palatino Linotype"/>
          <w:i/>
          <w:iCs/>
          <w:sz w:val="20"/>
        </w:rPr>
        <w:t xml:space="preserve"> </w:t>
      </w:r>
      <w:r>
        <w:rPr>
          <w:rFonts w:ascii="Palatino Linotype" w:hAnsi="Palatino Linotype"/>
          <w:i/>
          <w:iCs/>
          <w:sz w:val="20"/>
        </w:rPr>
        <w:t xml:space="preserve">Information Processing Systems</w:t>
      </w:r>
      <w:r>
        <w:rPr>
          <w:rFonts w:ascii="Palatino Linotype" w:hAnsi="Palatino Linotype"/>
          <w:sz w:val="20"/>
        </w:rPr>
        <w:t xml:space="preserve">, vol. 38, 2025, spotlight.</w:t>
      </w:r>
    </w:p>
    <w:p>
      <w:pPr>
        <w:pStyle w:val="BodyText"/>
        <w:jc w:val="both"/>
      </w:pPr>
      <w:r>
        <w:rPr>
          <w:rFonts w:ascii="Palatino Linotype" w:hAnsi="Palatino Linotype"/>
          <w:sz w:val="20"/>
        </w:rPr>
        <w:t xml:space="preserve">G. Boeing,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“</w:t>
      </w:r>
      <w:r>
        <w:rPr>
          <w:rFonts w:ascii="Palatino Linotype" w:hAnsi="Palatino Linotype"/>
          <w:sz w:val="20"/>
        </w:rPr>
        <w:t xml:space="preserve">OSMnx</w:t>
      </w:r>
      <w:r>
        <w:rPr>
          <w:rFonts w:ascii="Palatino Linotype" w:hAnsi="Palatino Linotype"/>
          <w:sz w:val="20"/>
        </w:rPr>
        <w:t xml:space="preserve">: New methods for acquiring, constructing, analyzing, and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visualizing complex street networks,”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i/>
          <w:iCs/>
          <w:sz w:val="20"/>
        </w:rPr>
        <w:t xml:space="preserve">Computers, Environment and Urban</w:t>
      </w:r>
      <w:r>
        <w:rPr>
          <w:rFonts w:ascii="Palatino Linotype" w:hAnsi="Palatino Linotype"/>
          <w:i/>
          <w:iCs/>
          <w:sz w:val="20"/>
        </w:rPr>
        <w:t xml:space="preserve"> </w:t>
      </w:r>
      <w:r>
        <w:rPr>
          <w:rFonts w:ascii="Palatino Linotype" w:hAnsi="Palatino Linotype"/>
          <w:i/>
          <w:iCs/>
          <w:sz w:val="20"/>
        </w:rPr>
        <w:t xml:space="preserve">Systems</w:t>
      </w:r>
      <w:r>
        <w:rPr>
          <w:rFonts w:ascii="Palatino Linotype" w:hAnsi="Palatino Linotype"/>
          <w:sz w:val="20"/>
        </w:rPr>
        <w:t xml:space="preserve">, vol. 65, pp. 126–139, 2017.</w:t>
      </w:r>
    </w:p>
    <w:p>
      <w:pPr>
        <w:pStyle w:val="BodyText"/>
        <w:jc w:val="both"/>
      </w:pPr>
      <w:r>
        <w:rPr>
          <w:rFonts w:ascii="Palatino Linotype" w:hAnsi="Palatino Linotype"/>
          <w:sz w:val="20"/>
        </w:rPr>
        <w:t xml:space="preserve">P. E. Hart, N. J. Nilsson, and B. Raphael,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“A formal basis for the heuristic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determination of minimum cost paths,”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i/>
          <w:iCs/>
          <w:sz w:val="20"/>
        </w:rPr>
        <w:t xml:space="preserve">IEEE Transactions on Systems</w:t>
      </w:r>
      <w:r>
        <w:rPr>
          <w:rFonts w:ascii="Palatino Linotype" w:hAnsi="Palatino Linotype"/>
          <w:i/>
          <w:iCs/>
          <w:sz w:val="20"/>
        </w:rPr>
        <w:t xml:space="preserve"> </w:t>
      </w:r>
      <w:r>
        <w:rPr>
          <w:rFonts w:ascii="Palatino Linotype" w:hAnsi="Palatino Linotype"/>
          <w:i/>
          <w:iCs/>
          <w:sz w:val="20"/>
        </w:rPr>
        <w:t xml:space="preserve">Science and Cybernetics</w:t>
      </w:r>
      <w:r>
        <w:rPr>
          <w:rFonts w:ascii="Palatino Linotype" w:hAnsi="Palatino Linotype"/>
          <w:sz w:val="20"/>
        </w:rPr>
        <w:t xml:space="preserve">, vol. 4, no. 2, pp. 100–107, 1968.</w:t>
      </w:r>
    </w:p>
    <w:p>
      <w:pPr>
        <w:pStyle w:val="BodyText"/>
        <w:jc w:val="both"/>
      </w:pPr>
      <w:r>
        <w:rPr>
          <w:rFonts w:ascii="Palatino Linotype" w:hAnsi="Palatino Linotype"/>
          <w:sz w:val="20"/>
        </w:rPr>
        <w:t xml:space="preserve">S. Koenig and M. Likhachev,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“</w:t>
      </w:r>
      <w:r>
        <w:rPr>
          <w:rFonts w:ascii="Palatino Linotype" w:hAnsi="Palatino Linotype"/>
          <w:sz w:val="20"/>
        </w:rPr>
        <w:t xml:space="preserve">D* Lite</w:t>
      </w:r>
      <w:r>
        <w:rPr>
          <w:rFonts w:ascii="Palatino Linotype" w:hAnsi="Palatino Linotype"/>
          <w:sz w:val="20"/>
        </w:rPr>
        <w:t xml:space="preserve">,”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in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i/>
          <w:iCs/>
          <w:sz w:val="20"/>
        </w:rPr>
        <w:t xml:space="preserve">Proceedings of the 18th</w:t>
      </w:r>
      <w:r>
        <w:rPr>
          <w:rFonts w:ascii="Palatino Linotype" w:hAnsi="Palatino Linotype"/>
          <w:i/>
          <w:iCs/>
          <w:sz w:val="20"/>
        </w:rPr>
        <w:t xml:space="preserve"> </w:t>
      </w:r>
      <w:r>
        <w:rPr>
          <w:rFonts w:ascii="Palatino Linotype" w:hAnsi="Palatino Linotype"/>
          <w:i/>
          <w:iCs/>
          <w:sz w:val="20"/>
        </w:rPr>
        <w:t xml:space="preserve">AAAI Conference on Artificial Intelligence</w:t>
      </w:r>
      <w:r>
        <w:rPr>
          <w:rFonts w:ascii="Palatino Linotype" w:hAnsi="Palatino Linotype"/>
          <w:sz w:val="20"/>
        </w:rPr>
        <w:t xml:space="preserve">, 2002, pp. 476–483.</w:t>
      </w:r>
    </w:p>
    <w:p>
      <w:pPr>
        <w:pStyle w:val="BodyText"/>
        <w:jc w:val="both"/>
      </w:pPr>
      <w:r>
        <w:rPr>
          <w:rFonts w:ascii="Palatino Linotype" w:hAnsi="Palatino Linotype"/>
          <w:sz w:val="20"/>
        </w:rPr>
        <w:t xml:space="preserve">O. Khatib,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“Real-time obstacle avoidance for manipulators and mobile robots,”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i/>
          <w:iCs/>
          <w:sz w:val="20"/>
        </w:rPr>
        <w:t xml:space="preserve">The International Journal of Robotics Research</w:t>
      </w:r>
      <w:r>
        <w:rPr>
          <w:rFonts w:ascii="Palatino Linotype" w:hAnsi="Palatino Linotype"/>
          <w:sz w:val="20"/>
        </w:rPr>
        <w:t xml:space="preserve">, vol. 5, no. 1, pp.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90–98, 1986.</w:t>
      </w:r>
    </w:p>
    <w:p>
      <w:pPr>
        <w:pStyle w:val="BodyText"/>
        <w:jc w:val="both"/>
      </w:pPr>
      <w:r>
        <w:rPr>
          <w:rFonts w:ascii="Palatino Linotype" w:hAnsi="Palatino Linotype"/>
          <w:sz w:val="20"/>
        </w:rPr>
        <w:t xml:space="preserve">H. Rao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i/>
          <w:iCs/>
          <w:sz w:val="20"/>
        </w:rPr>
        <w:t xml:space="preserve">et al.</w:t>
      </w:r>
      <w:r>
        <w:rPr>
          <w:rFonts w:ascii="Palatino Linotype" w:hAnsi="Palatino Linotype"/>
          <w:sz w:val="20"/>
        </w:rPr>
        <w:t xml:space="preserve">,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“Comprehensive review of path planning techniques for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unmanned aerial vehicles (</w:t>
      </w:r>
      <w:r>
        <w:rPr>
          <w:rFonts w:ascii="Palatino Linotype" w:hAnsi="Palatino Linotype"/>
          <w:sz w:val="20"/>
        </w:rPr>
        <w:t xml:space="preserve">UAVs</w:t>
      </w:r>
      <w:r>
        <w:rPr>
          <w:rFonts w:ascii="Palatino Linotype" w:hAnsi="Palatino Linotype"/>
          <w:sz w:val="20"/>
        </w:rPr>
        <w:t xml:space="preserve">),”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i/>
          <w:iCs/>
          <w:sz w:val="20"/>
        </w:rPr>
        <w:t xml:space="preserve">ACM Computing Surveys</w:t>
      </w:r>
      <w:r>
        <w:rPr>
          <w:rFonts w:ascii="Palatino Linotype" w:hAnsi="Palatino Linotype"/>
          <w:sz w:val="20"/>
        </w:rPr>
        <w:t xml:space="preserve">, 2025.</w:t>
      </w:r>
    </w:p>
    <w:p>
      <w:pPr>
        <w:pStyle w:val="BodyText"/>
        <w:jc w:val="both"/>
      </w:pPr>
      <w:r>
        <w:rPr>
          <w:rFonts w:ascii="Palatino Linotype" w:hAnsi="Palatino Linotype"/>
          <w:sz w:val="20"/>
        </w:rPr>
        <w:t xml:space="preserve">W. Zhou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i/>
          <w:iCs/>
          <w:sz w:val="20"/>
        </w:rPr>
        <w:t xml:space="preserve">et al.</w:t>
      </w:r>
      <w:r>
        <w:rPr>
          <w:rFonts w:ascii="Palatino Linotype" w:hAnsi="Palatino Linotype"/>
          <w:sz w:val="20"/>
        </w:rPr>
        <w:t xml:space="preserve">,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“A risk-based unmanned aerial vehicle path planning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scheme for complex air–ground environments,”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i/>
          <w:iCs/>
          <w:sz w:val="20"/>
        </w:rPr>
        <w:t xml:space="preserve">Risk Analysis</w:t>
      </w:r>
      <w:r>
        <w:rPr>
          <w:rFonts w:ascii="Palatino Linotype" w:hAnsi="Palatino Linotype"/>
          <w:sz w:val="20"/>
        </w:rPr>
        <w:t xml:space="preserve">, 2025.</w:t>
      </w:r>
    </w:p>
    <w:p>
      <w:pPr>
        <w:pStyle w:val="BodyText"/>
        <w:jc w:val="both"/>
      </w:pPr>
      <w:r>
        <w:rPr>
          <w:rFonts w:ascii="Palatino Linotype" w:hAnsi="Palatino Linotype"/>
          <w:sz w:val="20"/>
        </w:rPr>
        <w:t xml:space="preserve">C. Melissaris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i/>
          <w:iCs/>
          <w:sz w:val="20"/>
        </w:rPr>
        <w:t xml:space="preserve">et al.</w:t>
      </w:r>
      <w:r>
        <w:rPr>
          <w:rFonts w:ascii="Palatino Linotype" w:hAnsi="Palatino Linotype"/>
          <w:sz w:val="20"/>
        </w:rPr>
        <w:t xml:space="preserve">,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“Risk-aware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UAV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trajectory optimization using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open urban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GIS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data and target level of safety constraints,”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i/>
          <w:iCs/>
          <w:sz w:val="20"/>
        </w:rPr>
        <w:t xml:space="preserve">Drones</w:t>
      </w:r>
      <w:r>
        <w:rPr>
          <w:rFonts w:ascii="Palatino Linotype" w:hAnsi="Palatino Linotype"/>
          <w:sz w:val="20"/>
        </w:rPr>
        <w:t xml:space="preserve">, vol. 9, no. 10, p. 666, 2025.</w:t>
      </w:r>
    </w:p>
    <w:p>
      <w:pPr>
        <w:pStyle w:val="BodyText"/>
        <w:jc w:val="both"/>
      </w:pPr>
      <w:r>
        <w:rPr>
          <w:rFonts w:ascii="Palatino Linotype" w:hAnsi="Palatino Linotype"/>
          <w:sz w:val="20"/>
        </w:rPr>
        <w:t xml:space="preserve">F. Bonsignorio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i/>
          <w:iCs/>
          <w:sz w:val="20"/>
        </w:rPr>
        <w:t xml:space="preserve">et al.</w:t>
      </w:r>
      <w:r>
        <w:rPr>
          <w:rFonts w:ascii="Palatino Linotype" w:hAnsi="Palatino Linotype"/>
          <w:sz w:val="20"/>
        </w:rPr>
        <w:t xml:space="preserve">,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“Towards a science of reproducible results in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robotics,”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i/>
          <w:iCs/>
          <w:sz w:val="20"/>
        </w:rPr>
        <w:t xml:space="preserve">Nature Machine Intelligence</w:t>
      </w:r>
      <w:r>
        <w:rPr>
          <w:rFonts w:ascii="Palatino Linotype" w:hAnsi="Palatino Linotype"/>
          <w:sz w:val="20"/>
        </w:rPr>
        <w:t xml:space="preserve">, 2025.</w:t>
      </w:r>
    </w:p>
    <w:p>
      <w:pPr>
        <w:pStyle w:val="BodyText"/>
        <w:jc w:val="both"/>
      </w:pPr>
      <w:r>
        <w:rPr>
          <w:rFonts w:ascii="Palatino Linotype" w:hAnsi="Palatino Linotype"/>
          <w:sz w:val="20"/>
        </w:rPr>
        <w:t xml:space="preserve">F. Giannino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i/>
          <w:iCs/>
          <w:sz w:val="20"/>
        </w:rPr>
        <w:t xml:space="preserve">et al.</w:t>
      </w:r>
      <w:r>
        <w:rPr>
          <w:rFonts w:ascii="Palatino Linotype" w:hAnsi="Palatino Linotype"/>
          <w:sz w:val="20"/>
        </w:rPr>
        <w:t xml:space="preserve">,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“Statistical dynamics of wildfire burned area from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cellular-automata simulators,”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i/>
          <w:iCs/>
          <w:sz w:val="20"/>
        </w:rPr>
        <w:t xml:space="preserve">Scientific Reports</w:t>
      </w:r>
      <w:r>
        <w:rPr>
          <w:rFonts w:ascii="Palatino Linotype" w:hAnsi="Palatino Linotype"/>
          <w:sz w:val="20"/>
        </w:rPr>
        <w:t xml:space="preserve">, vol. 15, 2025.</w:t>
      </w:r>
    </w:p>
    <w:p>
      <w:pPr>
        <w:pStyle w:val="BodyText"/>
        <w:jc w:val="both"/>
      </w:pPr>
      <w:r>
        <w:rPr>
          <w:rFonts w:ascii="Palatino Linotype" w:hAnsi="Palatino Linotype"/>
          <w:sz w:val="20"/>
        </w:rPr>
        <w:t xml:space="preserve">M. Ferrara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i/>
          <w:iCs/>
          <w:sz w:val="20"/>
        </w:rPr>
        <w:t xml:space="preserve">et al.</w:t>
      </w:r>
      <w:r>
        <w:rPr>
          <w:rFonts w:ascii="Palatino Linotype" w:hAnsi="Palatino Linotype"/>
          <w:sz w:val="20"/>
        </w:rPr>
        <w:t xml:space="preserve">,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“Patterns of burned area by a cellular-automata fire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simulator: The role of microscale wind field,”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i/>
          <w:iCs/>
          <w:sz w:val="20"/>
        </w:rPr>
        <w:t xml:space="preserve">Science China Earth</w:t>
      </w:r>
      <w:r>
        <w:rPr>
          <w:rFonts w:ascii="Palatino Linotype" w:hAnsi="Palatino Linotype"/>
          <w:i/>
          <w:iCs/>
          <w:sz w:val="20"/>
        </w:rPr>
        <w:t xml:space="preserve"> </w:t>
      </w:r>
      <w:r>
        <w:rPr>
          <w:rFonts w:ascii="Palatino Linotype" w:hAnsi="Palatino Linotype"/>
          <w:i/>
          <w:iCs/>
          <w:sz w:val="20"/>
        </w:rPr>
        <w:t xml:space="preserve">Sciences</w:t>
      </w:r>
      <w:r>
        <w:rPr>
          <w:rFonts w:ascii="Palatino Linotype" w:hAnsi="Palatino Linotype"/>
          <w:sz w:val="20"/>
        </w:rPr>
        <w:t xml:space="preserve">, 2025.</w:t>
      </w:r>
    </w:p>
    <w:p>
      <w:pPr>
        <w:pStyle w:val="BodyText"/>
        <w:jc w:val="both"/>
      </w:pPr>
      <w:r>
        <w:rPr>
          <w:rFonts w:ascii="Palatino Linotype" w:hAnsi="Palatino Linotype"/>
          <w:sz w:val="20"/>
        </w:rPr>
        <w:t xml:space="preserve">L. P. Kaelbling, M. L. Littman, and A. R. Cassandra,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“Planning and acting in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partially observable stochastic domains,”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i/>
          <w:iCs/>
          <w:sz w:val="20"/>
        </w:rPr>
        <w:t xml:space="preserve">Artificial Intelligence</w:t>
      </w:r>
      <w:r>
        <w:rPr>
          <w:rFonts w:ascii="Palatino Linotype" w:hAnsi="Palatino Linotype"/>
          <w:sz w:val="20"/>
        </w:rPr>
        <w:t xml:space="preserve">,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vol. 101, no. 1–2, pp. 99–134, 1998.</w:t>
      </w:r>
    </w:p>
    <w:p>
      <w:pPr>
        <w:pStyle w:val="BodyText"/>
        <w:jc w:val="both"/>
      </w:pPr>
      <w:r>
        <w:rPr>
          <w:rFonts w:ascii="Palatino Linotype" w:hAnsi="Palatino Linotype"/>
          <w:sz w:val="20"/>
        </w:rPr>
        <w:t xml:space="preserve">M. Lauri, D. Hsu, and J. Pajarinen,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“Partially observable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Markov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decision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z w:val="20"/>
        </w:rPr>
        <w:t xml:space="preserve">processes and robotics,”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i/>
          <w:iCs/>
          <w:sz w:val="20"/>
        </w:rPr>
        <w:t xml:space="preserve">Annual Review of Control, Robotics, and</w:t>
      </w:r>
      <w:r>
        <w:rPr>
          <w:rFonts w:ascii="Palatino Linotype" w:hAnsi="Palatino Linotype"/>
          <w:i/>
          <w:iCs/>
          <w:sz w:val="20"/>
        </w:rPr>
        <w:t xml:space="preserve"> </w:t>
      </w:r>
      <w:r>
        <w:rPr>
          <w:rFonts w:ascii="Palatino Linotype" w:hAnsi="Palatino Linotype"/>
          <w:i/>
          <w:iCs/>
          <w:sz w:val="20"/>
        </w:rPr>
        <w:t xml:space="preserve">Autonomous Systems</w:t>
      </w:r>
      <w:r>
        <w:rPr>
          <w:rFonts w:ascii="Palatino Linotype" w:hAnsi="Palatino Linotype"/>
          <w:sz w:val="20"/>
        </w:rPr>
        <w:t xml:space="preserve">, vol. 6, pp. 491–519, 2023.</w:t>
      </w:r>
    </w:p>
    <w:bookmarkEnd w:id="69"/>
    <w:bookmarkEnd w:id="70"/>
    <w:sectPr>
      <w:footnotePr>
        <w:numRestart w:val="eachSect"/>
      </w:footnotePr>
      <w:pgSz w:w="11906" w:h="16838"/>
      <w:pgMar w:top="1332" w:bottom="1332" w:left="1332" w:right="133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 w:before="0" w:line="288" w:lineRule="auto"/>
    </w:pPr>
    <w:rPr>
      <w:rFonts w:ascii="Palatino Linotype" w:hAnsi="Palatino Linotype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240"/>
      <w:jc w:val="left"/>
      <w:outlineLvl w:val="0"/>
    </w:pPr>
    <w:rPr>
      <w:rFonts w:asciiTheme="majorHAnsi" w:cstheme="majorBidi" w:eastAsiaTheme="majorEastAsia" w:hAnsiTheme="majorHAnsi" w:ascii="Palatino Linotype" w:hAnsi="Palatino Linotype"/>
      <w:b/>
      <w:caps w:val="0"/>
      <w:color w:val="000000"/>
      <w:sz w:val="2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20"/>
      <w:jc w:val="left"/>
      <w:outlineLvl w:val="1"/>
    </w:pPr>
    <w:rPr>
      <w:rFonts w:asciiTheme="majorHAnsi" w:cstheme="majorBidi" w:eastAsiaTheme="majorEastAsia" w:hAnsiTheme="majorHAnsi" w:ascii="Palatino Linotype" w:hAnsi="Palatino Linotype"/>
      <w:b/>
      <w:color w:val="000000"/>
      <w:sz w:val="2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20"/>
      <w:jc w:val="left"/>
      <w:outlineLvl w:val="2"/>
    </w:pPr>
    <w:rPr>
      <w:rFonts w:cstheme="majorBidi" w:eastAsiaTheme="majorEastAsia" w:ascii="Palatino Linotype" w:hAnsi="Palatino Linotype"/>
      <w:b/>
      <w:color w:val="000000"/>
      <w:sz w:val="20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df"/><Relationship Id="rId45" Type="http://schemas.openxmlformats.org/officeDocument/2006/relationships/image" Target="media/rId45.pdf"/><Relationship Id="rId32" Type="http://schemas.openxmlformats.org/officeDocument/2006/relationships/image" Target="media/rId32.pdf"/><Relationship Id="rId25" Type="http://schemas.openxmlformats.org/officeDocument/2006/relationships/image" Target="media/rId25.pdf"/><Relationship Id="rId20" Type="http://schemas.openxmlformats.org/officeDocument/2006/relationships/image" Target="media/rId20.pdf"/><Relationship Id="rId50" Type="http://schemas.openxmlformats.org/officeDocument/2006/relationships/image" Target="media/rId50.pdf"/><Relationship Id="rId12" Type="http://schemas.openxmlformats.org/officeDocument/2006/relationships/image" Target="media/rId12.pdf"/><Relationship Id="rId63" Type="http://schemas.openxmlformats.org/officeDocument/2006/relationships/hyperlink" Target="https://github.com/zervakisai/uavplan" TargetMode="External"/></Relationships>
</file>

<file path=word/_rels/footnotes.xml.rels><?xml version='1.0' encoding='UTF-8' standalone='yes'?>
<Relationships xmlns="http://schemas.openxmlformats.org/package/2006/relationships"><Relationship Id="rId63" Type="http://schemas.openxmlformats.org/officeDocument/2006/relationships/hyperlink" Target="https://github.com/zervakisai/uavpl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2026-03-28T18:45:45Z</dcterms:created>
  <dcterms:modified xsi:type="dcterms:W3CDTF">2026-03-28T18:45:45Z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