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df" ContentType="application/pdf"/>
  <Override PartName="/word/media/rId44.pdf" ContentType="application/pdf"/>
  <Override PartName="/word/media/rId32.pdf" ContentType="application/pdf"/>
  <Override PartName="/word/media/rId25.pdf" ContentType="application/pdf"/>
  <Override PartName="/word/media/rId20.pdf" ContentType="application/pdf"/>
  <Override PartName="/word/media/rId49.pdf" ContentType="application/pdf"/>
  <Override PartName="/word/media/rId12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During the 2021 Evia wildfire—the largest recorded in the European Union</w:t>
      </w:r>
      <w:r>
        <w:t xml:space="preserve"> </w:t>
      </w:r>
      <w:r>
        <w:t xml:space="preserve">at the time—settlements were isolated for days and medical supplies had to</w:t>
      </w:r>
      <w:r>
        <w:t xml:space="preserve"> </w:t>
      </w:r>
      <w:r>
        <w:t xml:space="preserve">reach them by sea and air </w:t>
      </w:r>
      <w:r>
        <w:t xml:space="preserve">(Erdelj et al. 2017; Rahim and Qasim 2025)</w:t>
      </w:r>
      <w:r>
        <w:t xml:space="preserve">. Two years later, the</w:t>
      </w:r>
      <w:r>
        <w:t xml:space="preserve"> </w:t>
      </w:r>
      <w:r>
        <w:t xml:space="preserve">2023 Evros megafire consumed 96,000 hectares under complex no-fly-zone</w:t>
      </w:r>
      <w:r>
        <w:t xml:space="preserve"> </w:t>
      </w:r>
      <w:r>
        <w:t xml:space="preserve">constraints </w:t>
      </w:r>
      <w:r>
        <w:t xml:space="preserve">(Copernicus Emergency Management Service 2023;</w:t>
      </w:r>
      <w:r>
        <w:t xml:space="preserve"> </w:t>
      </w:r>
      <w:r>
        <w:t xml:space="preserve">San-Miguel-Ayanz et al.</w:t>
      </w:r>
      <w:r>
        <w:t xml:space="preserve"> </w:t>
      </w:r>
      <w:r>
        <w:t xml:space="preserve">2024)</w:t>
      </w:r>
      <w:r>
        <w:t xml:space="preserve">. In both events, UAVs could</w:t>
      </w:r>
      <w:r>
        <w:t xml:space="preserve"> </w:t>
      </w:r>
      <w:r>
        <w:t xml:space="preserve">have delivered medicine, surveyed fire perimeters, and located stranded</w:t>
      </w:r>
      <w:r>
        <w:t xml:space="preserve"> </w:t>
      </w:r>
      <w:r>
        <w:t xml:space="preserve">casualties—provided a planner could reach the target within a time horizon where</w:t>
      </w:r>
      <w:r>
        <w:t xml:space="preserve"> </w:t>
      </w:r>
      <w:r>
        <w:t xml:space="preserve">the delivery still has value.</w:t>
      </w:r>
    </w:p>
    <w:p>
      <w:pPr>
        <w:pStyle w:val="BodyText"/>
      </w:pPr>
      <w:r>
        <w:t xml:space="preserve">Current benchmarks cannot evaluate this requirement. They reduce every</w:t>
      </w:r>
      <w:r>
        <w:t xml:space="preserve"> </w:t>
      </w:r>
      <w:r>
        <w:t xml:space="preserve">mission to a binary question—</w:t>
      </w:r>
      <w:r>
        <w:rPr>
          <w:i/>
          <w:iCs/>
        </w:rPr>
        <w:t xml:space="preserve">did the agent reach the goal?</w:t>
      </w:r>
      <w:r>
        <w:t xml:space="preserve">—and</w:t>
      </w:r>
      <w:r>
        <w:t xml:space="preserve"> </w:t>
      </w:r>
      <w:r>
        <w:t xml:space="preserve">rank planners by success rate alone. This framing is blind to delivery</w:t>
      </w:r>
      <w:r>
        <w:t xml:space="preserve"> </w:t>
      </w:r>
      <w:r>
        <w:t xml:space="preserve">time: it equates a planner that delivers insulin in 200 steps with one that</w:t>
      </w:r>
      <w:r>
        <w:t xml:space="preserve"> </w:t>
      </w:r>
      <w:r>
        <w:t xml:space="preserve">arrives in 800, though the patient outcomes are vastly different. Navigation</w:t>
      </w:r>
      <w:r>
        <w:t xml:space="preserve"> </w:t>
      </w:r>
      <w:r>
        <w:t xml:space="preserve">success is not a proxy for mission effectiveness.</w:t>
      </w:r>
    </w:p>
    <w:p>
      <w:pPr>
        <w:pStyle w:val="BodyText"/>
      </w:pPr>
      <w:r>
        <w:t xml:space="preserve">This paper poses the question directly:</w:t>
      </w:r>
      <w:r>
        <w:t xml:space="preserve"> </w:t>
      </w:r>
      <w:r>
        <w:rPr>
          <w:i/>
          <w:iCs/>
        </w:rPr>
        <w:t xml:space="preserve">does the planner that</w:t>
      </w:r>
      <w:r>
        <w:rPr>
          <w:i/>
          <w:iCs/>
        </w:rPr>
        <w:t xml:space="preserve"> </w:t>
      </w:r>
      <w:r>
        <w:rPr>
          <w:i/>
          <w:iCs/>
        </w:rPr>
        <w:t xml:space="preserve">survives most often also save the most lives?</w:t>
      </w:r>
    </w:p>
    <w:p>
      <w:pPr>
        <w:pStyle w:val="BodyText"/>
      </w:pPr>
      <w:r>
        <w:t xml:space="preserve">Across 450 deterministic episodes on three Greek wildfire scenarios, the</w:t>
      </w:r>
      <w:r>
        <w:t xml:space="preserve"> </w:t>
      </w:r>
      <w:r>
        <w:t xml:space="preserve">answer is</w:t>
      </w:r>
      <w:r>
        <w:t xml:space="preserve"> </w:t>
      </w:r>
      <w:r>
        <w:rPr>
          <w:b/>
          <w:bCs/>
        </w:rPr>
        <w:t xml:space="preserve">no</w:t>
      </w:r>
      <w:r>
        <w:t xml:space="preserve">. We term this phenomenon the</w:t>
      </w:r>
      <w:r>
        <w:t xml:space="preserve"> </w:t>
      </w:r>
      <w:r>
        <w:rPr>
          <w:i/>
          <w:iCs/>
        </w:rPr>
        <w:t xml:space="preserve">ranking</w:t>
      </w:r>
      <w:r>
        <w:rPr>
          <w:i/>
          <w:iCs/>
        </w:rPr>
        <w:t xml:space="preserve"> </w:t>
      </w:r>
      <w:r>
        <w:rPr>
          <w:i/>
          <w:iCs/>
        </w:rPr>
        <w:t xml:space="preserve">inversion</w:t>
      </w:r>
      <w:r>
        <w:t xml:space="preserve">: planner orderings by navigation success rate diverge from</w:t>
      </w:r>
      <w:r>
        <w:t xml:space="preserve"> </w:t>
      </w:r>
      <w:r>
        <w:t xml:space="preserve">orderings by mission impact score.</w:t>
      </w:r>
    </w:p>
    <w:p>
      <w:pPr>
        <w:pStyle w:val="BodyText"/>
      </w:pPr>
      <w:r>
        <w:t xml:space="preserve">The cause traces to a single parameter—the risk</w:t>
      </w:r>
      <w:r>
        <w:t xml:space="preserve"> </w:t>
      </w:r>
      <w:r>
        <w:t xml:space="preserve">coefficient 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—that governs how strongly</w:t>
      </w:r>
      <w:r>
        <w:t xml:space="preserve"> </w:t>
      </w:r>
      <w:r>
        <w:t xml:space="preserve">each planner avoids hazards. Higher </w:t>
      </w:r>
      <m:oMath>
        <m:r>
          <m:t>ρ</m:t>
        </m:r>
      </m:oMath>
      <w:r>
        <w:t xml:space="preserve"> </w:t>
      </w:r>
      <w:r>
        <w:t xml:space="preserve">amplifies perceived danger,</w:t>
      </w:r>
      <w:r>
        <w:t xml:space="preserve"> </w:t>
      </w:r>
      <w:r>
        <w:t xml:space="preserve">producing wider detours with higher survival probability.</w:t>
      </w:r>
      <w:r>
        <w:t xml:space="preserve"> </w:t>
      </w:r>
      <w:r>
        <w:t xml:space="preserve">Lower </w:t>
      </w:r>
      <m:oMath>
        <m:r>
          <m:t>ρ</m:t>
        </m:r>
      </m:oMath>
      <w:r>
        <w:t xml:space="preserve"> </w:t>
      </w:r>
      <w:r>
        <w:t xml:space="preserve">discounts risk, permitting shorter-time routes through fire</w:t>
      </w:r>
      <w:r>
        <w:t xml:space="preserve"> </w:t>
      </w:r>
      <w:r>
        <w:t xml:space="preserve">fringes at the cost of increased collision probability. Risk is not penalised</w:t>
      </w:r>
      <w:r>
        <w:t xml:space="preserve"> </w:t>
      </w:r>
      <w:r>
        <w:t xml:space="preserve">directly—it is penalised through time-induced mission degradation: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rPr>
              <m:nor/>
              <m:sty m:val="p"/>
            </m:rPr>
            <m:t>higher 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survive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t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is the delivery step and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strictly decreasing mission score.</w:t>
      </w:r>
    </w:p>
    <w:p>
      <w:pPr>
        <w:pStyle w:val="BodyText"/>
      </w:pPr>
      <w:r>
        <w:rPr>
          <w:b/>
          <w:bCs/>
        </w:rPr>
        <w:t xml:space="preserve">Contributions.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FLARE benchmark</w:t>
      </w:r>
      <w:r>
        <w:t xml:space="preserve">: three OSM-derived wildfire scenarios with</w:t>
      </w:r>
      <w:r>
        <w:t xml:space="preserve"> </w:t>
      </w:r>
      <w:r>
        <w:t xml:space="preserve">coupled hazard dynamics and time-decaying mission scores, grounded in</w:t>
      </w:r>
      <w:r>
        <w:t xml:space="preserve"> </w:t>
      </w:r>
      <w:r>
        <w:t xml:space="preserve">real Greek incidents, enforcing 36 deterministic contracts.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Risk-parameterised planner suite</w:t>
      </w:r>
      <w:r>
        <w:t xml:space="preserve">: five planners spanning</w:t>
      </w:r>
      <w:r>
        <w:t xml:space="preserve"> </w:t>
      </w:r>
      <w:r>
        <w:t xml:space="preserve">static, adaptive, and reactive families, differing solely in </w:t>
      </w:r>
      <m:oMath>
        <m:r>
          <m:t>ρ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Ranking inversion</w:t>
      </w:r>
      <w:r>
        <w:t xml:space="preserve">: empirically demonstrated and</w:t>
      </w:r>
      <w:r>
        <w:t xml:space="preserve"> </w:t>
      </w:r>
      <w:r>
        <w:t xml:space="preserve">statistically validated (Friedman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Shapley attribution)</w:t>
      </w:r>
      <w:r>
        <w:t xml:space="preserve"> </w:t>
      </w:r>
      <w:r>
        <w:t xml:space="preserve">evidence that the best navigator is not the best rescuer.</w:t>
      </w:r>
    </w:p>
    <w:p>
      <w:pPr>
        <w:pStyle w:val="FirstParagraph"/>
      </w:pPr>
      <w:r>
        <w:t xml:space="preserve">The remainder is organised as follows: Section </w:t>
      </w:r>
      <w:hyperlink w:anchor="sec:method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describes the</w:t>
      </w:r>
      <w:r>
        <w:t xml:space="preserve"> </w:t>
      </w:r>
      <w:r>
        <w:t xml:space="preserve">benchmark design; Section </w:t>
      </w:r>
      <w:hyperlink w:anchor="sec:resul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experiments;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interprets findings; Section </w:t>
      </w:r>
      <w:hyperlink w:anchor="sec:conclusion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concludes.</w:t>
      </w:r>
    </w:p>
    <w:bookmarkStart w:id="9" w:name="sec:related"/>
    <w:p>
      <w:pPr>
        <w:pStyle w:val="Heading2"/>
      </w:pP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UAV path planning.</w:t>
      </w:r>
      <w:r>
        <w:t xml:space="preserve"> </w:t>
      </w:r>
      <w:r>
        <w:t xml:space="preserve">Classical planners—A* </w:t>
      </w:r>
      <w:r>
        <w:t xml:space="preserve">(Hart et al. 1968)</w:t>
      </w:r>
      <w:r>
        <w:t xml:space="preserve">,</w:t>
      </w:r>
      <w:r>
        <w:t xml:space="preserve"> </w:t>
      </w:r>
      <w:r>
        <w:t xml:space="preserve">D* Lite </w:t>
      </w:r>
      <w:r>
        <w:t xml:space="preserve">(Koenig and Likhachev 2002)</w:t>
      </w:r>
      <w:r>
        <w:t xml:space="preserve">, APF </w:t>
      </w:r>
      <w:r>
        <w:t xml:space="preserve">(Khatib 1986)</w:t>
      </w:r>
      <w:r>
        <w:t xml:space="preserve">—are surveyed</w:t>
      </w:r>
      <w:r>
        <w:t xml:space="preserve"> </w:t>
      </w:r>
      <w:r>
        <w:t xml:space="preserve">extensively </w:t>
      </w:r>
      <w:r>
        <w:t xml:space="preserve">(Meng et al. 2025; Dradoum et al. 2025; Aggarwal and Kumar 2020)</w:t>
      </w:r>
      <w:r>
        <w:t xml:space="preserve">. Risk-aware</w:t>
      </w:r>
      <w:r>
        <w:t xml:space="preserve"> </w:t>
      </w:r>
      <w:r>
        <w:t xml:space="preserve">extensions </w:t>
      </w:r>
      <w:r>
        <w:t xml:space="preserve">(</w:t>
      </w:r>
      <w:r>
        <w:t xml:space="preserve">Zhou et al.</w:t>
      </w:r>
      <w:r>
        <w:t xml:space="preserve"> </w:t>
      </w:r>
      <w:r>
        <w:t xml:space="preserve">2025;</w:t>
      </w:r>
      <w:r>
        <w:t xml:space="preserve"> </w:t>
      </w:r>
      <w:r>
        <w:t xml:space="preserve">Melissaris et al.</w:t>
      </w:r>
      <w:r>
        <w:t xml:space="preserve"> </w:t>
      </w:r>
      <w:r>
        <w:t xml:space="preserve">2025)</w:t>
      </w:r>
      <w:r>
        <w:t xml:space="preserve"> </w:t>
      </w:r>
      <w:r>
        <w:t xml:space="preserve">weight edges by hazard proximity</w:t>
      </w:r>
      <w:r>
        <w:t xml:space="preserve"> </w:t>
      </w:r>
      <w:r>
        <w:t xml:space="preserve">but evaluate only path length or success rate. No existing work evaluates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mission-level</w:t>
      </w:r>
      <w:r>
        <w:t xml:space="preserve"> </w:t>
      </w:r>
      <w:r>
        <w:t xml:space="preserve">consequences of risk sensitivity—the gap that</w:t>
      </w:r>
      <w:r>
        <w:t xml:space="preserve"> </w:t>
      </w:r>
      <w:r>
        <w:t xml:space="preserve">FLARE addresses.</w:t>
      </w:r>
    </w:p>
    <w:p>
      <w:pPr>
        <w:pStyle w:val="BodyText"/>
      </w:pPr>
      <w:r>
        <w:rPr>
          <w:b/>
          <w:bCs/>
        </w:rPr>
        <w:t xml:space="preserve">Reproducible benchmarking.</w:t>
      </w:r>
      <w:r>
        <w:t xml:space="preserve"> </w:t>
      </w:r>
      <w:r>
        <w:t xml:space="preserve">Henderson et al. </w:t>
      </w:r>
      <w:r>
        <w:t xml:space="preserve">(Henderson et al. 2018)</w:t>
      </w:r>
      <w:r>
        <w:t xml:space="preserve"> </w:t>
      </w:r>
      <w:r>
        <w:t xml:space="preserve">demonstrated evaluation fragility</w:t>
      </w:r>
      <w:r>
        <w:t xml:space="preserve"> </w:t>
      </w:r>
      <w:r>
        <w:t xml:space="preserve">without fixed seeds. Robust practice now includes IQM with bootstrap</w:t>
      </w:r>
      <w:r>
        <w:t xml:space="preserve"> </w:t>
      </w:r>
      <w:r>
        <w:t xml:space="preserve">CIs </w:t>
      </w:r>
      <w:r>
        <w:t xml:space="preserve">(Agarwal et al. 2021)</w:t>
      </w:r>
      <w:r>
        <w:t xml:space="preserve">, Friedman/Wilcoxon tests </w:t>
      </w:r>
      <w:r>
        <w:t xml:space="preserve">(Demšar 2006)</w:t>
      </w:r>
      <w:r>
        <w:t xml:space="preserve">, and</w:t>
      </w:r>
      <w:r>
        <w:t xml:space="preserve"> </w:t>
      </w:r>
      <w:r>
        <w:t xml:space="preserve">performance profiles </w:t>
      </w:r>
      <w:r>
        <w:t xml:space="preserve">(Dolan and Moré 2002)</w:t>
      </w:r>
      <w:r>
        <w:t xml:space="preserve">. Bonsignorio et</w:t>
      </w:r>
      <w:r>
        <w:t xml:space="preserve"> </w:t>
      </w:r>
      <w:r>
        <w:t xml:space="preserve">al. </w:t>
      </w:r>
      <w:r>
        <w:t xml:space="preserve">(Bonsignorio et al. 2025)</w:t>
      </w:r>
      <w:r>
        <w:t xml:space="preserve"> </w:t>
      </w:r>
      <w:r>
        <w:t xml:space="preserve">advocate published experimental contracts.</w:t>
      </w:r>
      <w:r>
        <w:t xml:space="preserve"> </w:t>
      </w:r>
      <w:r>
        <w:t xml:space="preserve">FLARE adopts all four: deterministic replay, IQM, rank tests, and</w:t>
      </w:r>
      <w:r>
        <w:t xml:space="preserve"> </w:t>
      </w:r>
      <w:r>
        <w:t xml:space="preserve">36 enforceable contracts verified by 189 automated assertions.</w:t>
      </w:r>
    </w:p>
    <w:p>
      <w:pPr>
        <w:pStyle w:val="BodyText"/>
      </w:pPr>
      <w:r>
        <w:rPr>
          <w:b/>
          <w:bCs/>
        </w:rPr>
        <w:t xml:space="preserve">Dynamic fire environments.</w:t>
      </w:r>
      <w:r>
        <w:t xml:space="preserve"> </w:t>
      </w:r>
      <w:r>
        <w:t xml:space="preserve">Cellular-automaton models with</w:t>
      </w:r>
      <w:r>
        <w:t xml:space="preserve"> </w:t>
      </w:r>
      <w:r>
        <w:t xml:space="preserve">wind-directional spread </w:t>
      </w:r>
      <w:r>
        <w:t xml:space="preserve">(Alexandridis et al. 2008;</w:t>
      </w:r>
      <w:r>
        <w:t xml:space="preserve"> </w:t>
      </w:r>
      <w:r>
        <w:t xml:space="preserve">Giannino et al.</w:t>
      </w:r>
      <w:r>
        <w:t xml:space="preserve"> </w:t>
      </w:r>
      <w:r>
        <w:t xml:space="preserve">2025; Sahila et al. 2025)</w:t>
      </w:r>
      <w:r>
        <w:t xml:space="preserve"> </w:t>
      </w:r>
      <w:r>
        <w:t xml:space="preserve">capture the dominant fire propagation mechanism. Most UAV benchmarks,</w:t>
      </w:r>
      <w:r>
        <w:t xml:space="preserve"> </w:t>
      </w:r>
      <w:r>
        <w:t xml:space="preserve">however, use static or randomly toggled</w:t>
      </w:r>
      <w:r>
        <w:t xml:space="preserve"> </w:t>
      </w:r>
      <w:r>
        <w:t xml:space="preserve">blockages </w:t>
      </w:r>
      <w:r>
        <w:t xml:space="preserve">(Zhao et al. 2018)</w:t>
      </w:r>
      <w:r>
        <w:t xml:space="preserve">—environments that do not worsen over time.</w:t>
      </w:r>
      <w:r>
        <w:t xml:space="preserve"> </w:t>
      </w:r>
      <w:r>
        <w:t xml:space="preserve">FLARE’s physically motivated dynamics (spreading fire, collapsing</w:t>
      </w:r>
      <w:r>
        <w:t xml:space="preserve"> </w:t>
      </w:r>
      <w:r>
        <w:t xml:space="preserve">buildings, closing roads) create a</w:t>
      </w:r>
      <w:r>
        <w:t xml:space="preserve"> </w:t>
      </w:r>
      <w:r>
        <w:rPr>
          <w:i/>
          <w:iCs/>
        </w:rPr>
        <w:t xml:space="preserve">monotonically degrading</w:t>
      </w:r>
      <w:r>
        <w:t xml:space="preserve"> </w:t>
      </w:r>
      <w:r>
        <w:t xml:space="preserve">environment, a qualitatively harder and more realistic challenge.</w:t>
      </w:r>
    </w:p>
    <w:p>
      <w:pPr>
        <w:pStyle w:val="BodyText"/>
      </w:pPr>
      <w:r>
        <w:rPr>
          <w:b/>
          <w:bCs/>
        </w:rPr>
        <w:t xml:space="preserve">The missing evaluation paradigm.</w:t>
      </w:r>
      <w:r>
        <w:t xml:space="preserve"> </w:t>
      </w:r>
      <w:r>
        <w:t xml:space="preserve">Across all three threads,</w:t>
      </w:r>
      <w:r>
        <w:t xml:space="preserve"> </w:t>
      </w:r>
      <w:r>
        <w:t xml:space="preserve">existing work shares one blind spot:</w:t>
      </w:r>
      <w:r>
        <w:t xml:space="preserve"> </w:t>
      </w:r>
      <w:r>
        <w:rPr>
          <w:i/>
          <w:iCs/>
        </w:rPr>
        <w:t xml:space="preserve">time-coupled mission value</w:t>
      </w:r>
      <w:r>
        <w:t xml:space="preserve">.</w:t>
      </w:r>
      <w:r>
        <w:t xml:space="preserve"> </w:t>
      </w:r>
      <w:r>
        <w:t xml:space="preserve">Success rate counts completions; FLARE measures their worth.</w:t>
      </w:r>
    </w:p>
    <w:bookmarkEnd w:id="9"/>
    <w:bookmarkEnd w:id="10"/>
    <w:bookmarkStart w:id="40" w:name="sec:methods"/>
    <w:p>
      <w:pPr>
        <w:pStyle w:val="Heading1"/>
      </w:pPr>
      <w:r>
        <w:t xml:space="preserve">Materials and Methods</w:t>
      </w:r>
    </w:p>
    <w:bookmarkStart w:id="11" w:name="sec: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FLARE operates on a grid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499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3</m:t>
        </m:r>
      </m:oMath>
      <w:r>
        <w:t xml:space="preserve"> m</w:t>
      </w:r>
      <w:r>
        <w:t xml:space="preserve"> </w:t>
      </w:r>
      <w:r>
        <w:t xml:space="preserve">per cell), extracted from OpenStreetMap tiles </w:t>
      </w:r>
      <w:r>
        <w:t xml:space="preserve">(Boeing 2017)</w:t>
      </w:r>
      <w:r>
        <w:t xml:space="preserve"> </w:t>
      </w:r>
      <w:r>
        <w:t xml:space="preserve">of Greek</w:t>
      </w:r>
      <w:r>
        <w:t xml:space="preserve"> </w:t>
      </w:r>
      <w:r>
        <w:t xml:space="preserve">urban areas. The Gymnasium-compatible </w:t>
      </w:r>
      <w:r>
        <w:t xml:space="preserve">(</w:t>
      </w:r>
      <w:r>
        <w:t xml:space="preserve">Towers et al.</w:t>
      </w:r>
      <w:r>
        <w:t xml:space="preserve"> </w:t>
      </w:r>
      <w:r>
        <w:t xml:space="preserve">2025)</w:t>
      </w:r>
      <w:r>
        <w:t xml:space="preserve"> </w:t>
      </w:r>
      <w:r>
        <w:t xml:space="preserve">environment exposes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actions (four cardinal moves and stay). A strict timing</w:t>
      </w:r>
      <w:r>
        <w:t xml:space="preserve"> </w:t>
      </w:r>
      <w:r>
        <w:t xml:space="preserve">contract governs each step: the planner observes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blocking mask (frozen), selects an action, and only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do dynamics</w:t>
      </w:r>
      <w:r>
        <w:t xml:space="preserve"> </w:t>
      </w:r>
      <w:r>
        <w:t xml:space="preserve">advance (fairness contract FC-2). If fire or debris reaches the agent’s</w:t>
      </w:r>
      <w:r>
        <w:t xml:space="preserve"> </w:t>
      </w:r>
      <w:r>
        <w:t xml:space="preserve">cell after the dynamics update, the episode terminates immediately.</w:t>
      </w:r>
    </w:p>
    <w:bookmarkEnd w:id="11"/>
    <w:bookmarkStart w:id="24" w:name="sec:dynamics"/>
    <w:p>
      <w:pPr>
        <w:pStyle w:val="Heading2"/>
      </w:pPr>
      <w:r>
        <w:t xml:space="preserve">Hazard Dynamics</w:t>
      </w:r>
    </w:p>
    <w:p>
      <w:pPr>
        <w:pStyle w:val="FirstParagraph"/>
      </w:pPr>
      <w:r>
        <w:t xml:space="preserve">Three coupled layers produce a hazard landscape that worsens monotonically.</w:t>
      </w:r>
    </w:p>
    <w:p>
      <w:pPr>
        <w:pStyle w:val="BodyText"/>
      </w:pPr>
      <w:r>
        <w:rPr>
          <w:b/>
          <w:bCs/>
        </w:rPr>
        <w:t xml:space="preserve">Wind-driven fire.</w:t>
      </w:r>
      <w:r>
        <w:t xml:space="preserve"> </w:t>
      </w:r>
      <w:r>
        <w:t xml:space="preserve">Spread follows a cellular automaton on the Moore</w:t>
      </w:r>
      <w:r>
        <w:t xml:space="preserve"> </w:t>
      </w:r>
      <w:r>
        <w:t xml:space="preserve">neighbourhood </w:t>
      </w:r>
      <w:r>
        <w:t xml:space="preserve">(Alexandridis et al. 2008)</w:t>
      </w:r>
      <w:r>
        <w:t xml:space="preserve">, modulated by wind direction and land</w:t>
      </w:r>
      <w:r>
        <w:t xml:space="preserve"> </w:t>
      </w:r>
      <w:r>
        <w:t xml:space="preserve">use. Downwind cells ignite faster; upwind cells are suppressed</w:t>
      </w:r>
      <w:r>
        <w:t xml:space="preserve"> </w:t>
      </w:r>
      <w:r>
        <w:t xml:space="preserve">(Figure </w:t>
      </w:r>
      <w:hyperlink w:anchor="fig:wind">
        <w:r>
          <w:rPr>
            <w:rStyle w:val="Hyperlink"/>
          </w:rPr>
          <w:t xml:space="preserve">1</w:t>
        </w:r>
      </w:hyperlink>
      <w:r>
        <w:t xml:space="preserve">). A buffer zone (radius 1) and dense smoke further restrict UAV movement.</w:t>
      </w:r>
    </w:p>
    <w:bookmarkStart w:id="15" w:name="fig:wind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-</w:t>
            </w:r>
            <w:r>
              <w:t xml:space="preserve">0cm</w:t>
            </w:r>
            <w:r>
              <w:t xml:space="preserve"> </w:t>
            </w:r>
            <w:r>
              <w:drawing>
                <wp:inline>
                  <wp:extent cx="5334000" cy="2648691"/>
                  <wp:effectExtent b="0" l="0" r="0" t="0"/>
                  <wp:docPr descr="image" title="" id="13" name="Picture"/>
                  <a:graphic>
                    <a:graphicData uri="http://schemas.openxmlformats.org/drawingml/2006/picture">
                      <pic:pic>
                        <pic:nvPicPr>
                          <pic:cNvPr descr="../figures/wind_driven_fire.pdf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8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Wind reshapes the hazard geometry. (</w:t>
      </w:r>
      <w:r>
        <w:rPr>
          <w:b/>
          <w:bCs/>
        </w:rPr>
        <w:t xml:space="preserve">a</w:t>
      </w:r>
      <w:r>
        <w:t xml:space="preserve">) Without wind, fire expands</w:t>
      </w:r>
      <w:r>
        <w:t xml:space="preserve"> </w:t>
      </w:r>
      <w:r>
        <w:t xml:space="preserve">symmetrically. (</w:t>
      </w:r>
      <w:r>
        <w:rPr>
          <w:b/>
          <w:bCs/>
        </w:rPr>
        <w:t xml:space="preserve">b</w:t>
      </w:r>
      <w:r>
        <w:t xml:space="preserve">) At 3 m/s from the west, fire elongates downwind,</w:t>
      </w:r>
      <w:r>
        <w:t xml:space="preserve"> </w:t>
      </w:r>
      <w:r>
        <w:t xml:space="preserve">blocking the direct route while the upwind flank remains passable for</w:t>
      </w:r>
      <w:r>
        <w:t xml:space="preserve"> </w:t>
      </w:r>
      <w:r>
        <w:t xml:space="preserve">risk-tolerant planners. Black circles denote dynamic obstacles; blue</w:t>
      </w:r>
      <w:r>
        <w:t xml:space="preserve"> </w:t>
      </w:r>
      <w:r>
        <w:t xml:space="preserve">cross denotes the UAV. Penteli, seed 42,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.</w:t>
      </w:r>
    </w:p>
    <w:bookmarkEnd w:id="15"/>
    <w:p>
      <w:pPr>
        <w:pStyle w:val="BodyText"/>
      </w:pPr>
      <w:r>
        <w:rPr>
          <w:b/>
          <w:bCs/>
        </w:rPr>
        <w:t xml:space="preserve">Structural collapse.</w:t>
      </w:r>
      <w:r>
        <w:t xml:space="preserve"> </w:t>
      </w:r>
      <w:r>
        <w:t xml:space="preserve">Buildings exposed to fire for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 steps collapse with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0.6</m:t>
        </m:r>
      </m:oMath>
      <w:r>
        <w:t xml:space="preserve">, scattering</w:t>
      </w:r>
      <w:r>
        <w:t xml:space="preserve"> </w:t>
      </w:r>
      <w:r>
        <w:t xml:space="preserve">permanent debris. Unlike fire—which burns out—debris</w:t>
      </w:r>
      <w:r>
        <w:t xml:space="preserve"> </w:t>
      </w:r>
      <w:r>
        <w:rPr>
          <w:i/>
          <w:iCs/>
        </w:rPr>
        <w:t xml:space="preserve">accumulates</w:t>
      </w:r>
      <w:r>
        <w:t xml:space="preserve">, progressively eliminating detour options</w:t>
      </w:r>
      <w:r>
        <w:t xml:space="preserve"> </w:t>
      </w:r>
      <w:r>
        <w:t xml:space="preserve">(Figure </w:t>
      </w:r>
      <w:hyperlink w:anchor="fig:collapse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19" w:name="fig:collapse"/>
    <w:p>
      <w:pPr>
        <w:pStyle w:val="CaptionedFigure"/>
      </w:pPr>
      <w:r>
        <w:drawing>
          <wp:inline>
            <wp:extent cx="5334000" cy="328159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figures/collapse_cascade.pdf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Cascading hazard coupling. (</w:t>
      </w:r>
      <w:r>
        <w:rPr>
          <w:b/>
          <w:bCs/>
        </w:rPr>
        <w:t xml:space="preserve">a</w:t>
      </w:r>
      <w:r>
        <w:t xml:space="preserve">) Fire peaks then recedes, but</w:t>
      </w:r>
      <w:r>
        <w:t xml:space="preserve"> </w:t>
      </w:r>
      <w:r>
        <w:t xml:space="preserve">debris grows permanently. (</w:t>
      </w:r>
      <w:r>
        <w:rPr>
          <w:b/>
          <w:bCs/>
        </w:rPr>
        <w:t xml:space="preserve">b</w:t>
      </w:r>
      <w:r>
        <w:t xml:space="preserve">–</w:t>
      </w:r>
      <w:r>
        <w:rPr>
          <w:b/>
          <w:bCs/>
        </w:rPr>
        <w:t xml:space="preserve">e</w:t>
      </w:r>
      <w:r>
        <w:t xml:space="preserve">) Four snapshots trace the cascade</w:t>
      </w:r>
      <w:r>
        <w:t xml:space="preserve"> </w:t>
      </w:r>
      <w:r>
        <w:t xml:space="preserve">from clean grid to permanent debris field (Penteli, seed 42).</w:t>
      </w:r>
    </w:p>
    <w:bookmarkEnd w:id="19"/>
    <w:p>
      <w:pPr>
        <w:pStyle w:val="BodyText"/>
      </w:pPr>
      <w:r>
        <w:rPr>
          <w:b/>
          <w:bCs/>
        </w:rPr>
        <w:t xml:space="preserve">Dynamic obstacles.</w:t>
      </w:r>
      <w:r>
        <w:t xml:space="preserve"> </w:t>
      </w:r>
      <w:r>
        <w:t xml:space="preserve">Moving obstacles patrol the road network,</w:t>
      </w:r>
      <w:r>
        <w:t xml:space="preserve"> </w:t>
      </w:r>
      <w:r>
        <w:t xml:space="preserve">blocking UAV movement within a Manhattan buffer (radius 5). The</w:t>
      </w:r>
      <w:r>
        <w:t xml:space="preserve"> </w:t>
      </w:r>
      <w:r>
        <w:t xml:space="preserve">interaction engine couples fire to traffic: fire proximity closes</w:t>
      </w:r>
      <w:r>
        <w:t xml:space="preserve"> </w:t>
      </w:r>
      <w:r>
        <w:t xml:space="preserve">road segments, creating compound blockages that neither layer produces</w:t>
      </w:r>
      <w:r>
        <w:t xml:space="preserve"> </w:t>
      </w:r>
      <w:r>
        <w:t xml:space="preserve">alone (Figure </w:t>
      </w:r>
      <w:hyperlink w:anchor="fig:traffic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23" w:name="fig:traffic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-</w:t>
            </w:r>
            <w:r>
              <w:t xml:space="preserve">0cm</w:t>
            </w:r>
            <w:r>
              <w:t xml:space="preserve"> </w:t>
            </w:r>
            <w:r>
              <w:drawing>
                <wp:inline>
                  <wp:extent cx="5295900" cy="26670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figures/traffic_dynamics.pdf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Fire–obstacle coupling (Piraeus, seed 42). (</w:t>
      </w:r>
      <w:r>
        <w:rPr>
          <w:b/>
          <w:bCs/>
        </w:rPr>
        <w:t xml:space="preserve">a</w:t>
      </w:r>
      <w:r>
        <w:t xml:space="preserve">) Dynamic</w:t>
      </w:r>
      <w:r>
        <w:t xml:space="preserve"> </w:t>
      </w:r>
      <w:r>
        <w:t xml:space="preserve">obstacles operate normally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. (</w:t>
      </w:r>
      <w:r>
        <w:rPr>
          <w:b/>
          <w:bCs/>
        </w:rPr>
        <w:t xml:space="preserve">b</w:t>
      </w:r>
      <w:r>
        <w:t xml:space="preserve">) Fire triggers road</w:t>
      </w:r>
      <w:r>
        <w:t xml:space="preserve"> </w:t>
      </w:r>
      <w:r>
        <w:t xml:space="preserve">closures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</m:oMath>
      <w:r>
        <w:t xml:space="preserve">. (</w:t>
      </w:r>
      <w:r>
        <w:rPr>
          <w:b/>
          <w:bCs/>
        </w:rPr>
        <w:t xml:space="preserve">c</w:t>
      </w:r>
      <w:r>
        <w:t xml:space="preserve">) 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, fire, closures, and diverted</w:t>
      </w:r>
      <w:r>
        <w:t xml:space="preserve"> </w:t>
      </w:r>
      <w:r>
        <w:t xml:space="preserve">obstacles jointly cut the corridor. Black circles denote dynamic</w:t>
      </w:r>
      <w:r>
        <w:t xml:space="preserve"> </w:t>
      </w:r>
      <w:r>
        <w:t xml:space="preserve">obstacles; blue cross denotes the UAV.</w:t>
      </w:r>
    </w:p>
    <w:bookmarkEnd w:id="23"/>
    <w:bookmarkEnd w:id="24"/>
    <w:bookmarkStart w:id="29" w:name="sec:riskmap"/>
    <w:p>
      <w:pPr>
        <w:pStyle w:val="Heading2"/>
      </w:pPr>
      <w:r>
        <w:t xml:space="preserve">Risk Cost Map</w:t>
      </w:r>
    </w:p>
    <w:p>
      <w:pPr>
        <w:pStyle w:val="FirstParagraph"/>
      </w:pPr>
      <w:r>
        <w:t xml:space="preserve">The perception pipeline maps raw hazards to planner-specific edge costs</w:t>
      </w:r>
      <w:r>
        <w:t xml:space="preserve"> </w:t>
      </w:r>
      <w:r>
        <w:t xml:space="preserve">in two stages:</w:t>
      </w:r>
      <w:r>
        <w:t xml:space="preserve"> </w:t>
      </w:r>
      <w:r>
        <w:rPr>
          <w:i/>
          <w:iCs/>
        </w:rPr>
        <w:t xml:space="preserve">risk fusion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cost inflation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Stage 1: Risk fusion.</w:t>
      </w:r>
      <w:r>
        <w:t xml:space="preserve"> </w:t>
      </w:r>
      <w:r>
        <w:t xml:space="preserve">Five distance-decay layers are fused into a</w:t>
      </w:r>
      <w:r>
        <w:t xml:space="preserve"> </w:t>
      </w:r>
      <w:r>
        <w:t xml:space="preserve">continuous risk map</w:t>
      </w:r>
      <w:r>
        <w:t xml:space="preserve"> </w:t>
      </w:r>
      <m:oMath>
        <m:r>
          <m:t>R</m:t>
        </m:r>
        <m:r>
          <m:rPr>
            <m:sty m:val="p"/>
          </m:rPr>
          <m:t>:</m:t>
        </m:r>
        <m:r>
          <m:rPr>
            <m:scr m:val="script"/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via element-wise max: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nfz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f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(fire),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(smoke),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0.6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(traffic),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(debris), 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nfz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(no-fly zones),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t xml:space="preserve">, where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Euclidean</w:t>
      </w:r>
      <w:r>
        <w:t xml:space="preserve"> </w:t>
      </w:r>
      <w:r>
        <w:t xml:space="preserve">distance transforms from fire, traffic, and debris with influence radii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cells;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smoke</w:t>
      </w:r>
      <w:r>
        <w:t xml:space="preserve"> </w:t>
      </w:r>
      <w:r>
        <w:t xml:space="preserve">concentration;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The scaling constants</w:t>
      </w:r>
      <w:r>
        <w:t xml:space="preserve"> </w:t>
      </w:r>
      <w:r>
        <w:t xml:space="preserve">(0.6, 0.7) are calibrated heuristics reflecting the relative severity</w:t>
      </w:r>
      <w:r>
        <w:t xml:space="preserve"> </w:t>
      </w:r>
      <w:r>
        <w:t xml:space="preserve">of each hazard layer (insensitive to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perturbation). We use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t xml:space="preserve">rather than summation so that a single severe hazard dominates</w:t>
      </w:r>
      <w:r>
        <w:t xml:space="preserve"> </w:t>
      </w:r>
      <w:r>
        <w:t xml:space="preserve">regardless of benign neighbours.</w:t>
      </w:r>
    </w:p>
    <w:p>
      <w:pPr>
        <w:pStyle w:val="BodyText"/>
      </w:pPr>
      <w:r>
        <w:rPr>
          <w:b/>
          <w:bCs/>
        </w:rPr>
        <w:t xml:space="preserve">Stage 2: Cost inflation.</w:t>
      </w:r>
      <w:r>
        <w:t xml:space="preserve"> </w:t>
      </w:r>
      <w:r>
        <w:t xml:space="preserve">Each planner inflates its edge cost</w:t>
      </w:r>
      <w:r>
        <w:t xml:space="preserve"> </w:t>
      </w:r>
      <w:r>
        <w:t xml:space="preserve">using a planner-specific risk coefficient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High </w:t>
      </w:r>
      <m:oMath>
        <m:r>
          <m:t>ρ</m:t>
        </m:r>
      </m:oMath>
      <w:r>
        <w:t xml:space="preserve"> </w:t>
      </w:r>
      <w:r>
        <w:t xml:space="preserve">amplifies perceived danger, causing wider</w:t>
      </w:r>
      <w:r>
        <w:t xml:space="preserve"> </w:t>
      </w:r>
      <w:r>
        <w:t xml:space="preserve">detours; low </w:t>
      </w:r>
      <m:oMath>
        <m:r>
          <m:t>ρ</m:t>
        </m:r>
      </m:oMath>
      <w:r>
        <w:t xml:space="preserve"> </w:t>
      </w:r>
      <w:r>
        <w:t xml:space="preserve">allows routes through fire fringes.</w:t>
      </w:r>
    </w:p>
    <w:p>
      <w:pPr>
        <w:pStyle w:val="BodyText"/>
      </w:pPr>
      <w:r>
        <w:t xml:space="preserve">Figure </w:t>
      </w:r>
      <w:hyperlink w:anchor="fig:riskpercept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establishes visually that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alone—not</w:t>
      </w:r>
      <w:r>
        <w:t xml:space="preserve"> </w:t>
      </w:r>
      <w:r>
        <w:t xml:space="preserve">the algorithm—controls what the planner</w:t>
      </w:r>
      <w:r>
        <w:t xml:space="preserve"> </w:t>
      </w:r>
      <w:r>
        <w:t xml:space="preserve">“sees”</w:t>
      </w:r>
      <w:r>
        <w:t xml:space="preserve">: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fire state produces five radically different cost landscapes.</w:t>
      </w:r>
    </w:p>
    <w:bookmarkStart w:id="28" w:name="fig:riskpercepti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-</w:t>
            </w:r>
            <w:r>
              <w:t xml:space="preserve">0cm</w:t>
            </w:r>
            <w:r>
              <w:t xml:space="preserve"> </w:t>
            </w:r>
            <w:r>
              <w:drawing>
                <wp:inline>
                  <wp:extent cx="5143500" cy="2768600"/>
                  <wp:effectExtent b="0" l="0" r="0" t="0"/>
                  <wp:docPr descr="image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figures/risk_perception_5panel.pdf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76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Same fire, five perceptions (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). Each panel shows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 A* sees uniform cost</w:t>
      </w:r>
      <w:r>
        <w:t xml:space="preserve"> </w:t>
      </w:r>
      <w:r>
        <w:t xml:space="preserve">(blind). Periodic (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t xml:space="preserve">) sees fire as an impassable wall.</w:t>
      </w:r>
      <w:r>
        <w:t xml:space="preserve"> </w:t>
      </w:r>
      <w:r>
        <w:t xml:space="preserve">Aggressive 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 barely registers danger. The coefficient,</w:t>
      </w:r>
      <w:r>
        <w:t xml:space="preserve"> </w:t>
      </w:r>
      <w:r>
        <w:t xml:space="preserve">not the algorithm, determines what the planner</w:t>
      </w:r>
      <w:r>
        <w:t xml:space="preserve"> </w:t>
      </w:r>
      <w:r>
        <w:t xml:space="preserve">“sees.”</w:t>
      </w:r>
    </w:p>
    <w:bookmarkEnd w:id="28"/>
    <w:bookmarkEnd w:id="29"/>
    <w:bookmarkStart w:id="31" w:name="sec:planners"/>
    <w:p>
      <w:pPr>
        <w:pStyle w:val="Heading2"/>
      </w:pPr>
      <w:r>
        <w:t xml:space="preserve">Planner Suite</w:t>
      </w:r>
    </w:p>
    <w:p>
      <w:pPr>
        <w:pStyle w:val="FirstParagraph"/>
      </w:pPr>
      <w:r>
        <w:t xml:space="preserve">Five planners from three algorithmic families are controlled by a single</w:t>
      </w:r>
      <w:r>
        <w:t xml:space="preserve"> </w:t>
      </w:r>
      <w:r>
        <w:t xml:space="preserve">coefficient </w:t>
      </w:r>
      <m:oMath>
        <m:r>
          <m:t>ρ</m:t>
        </m:r>
      </m:oMath>
      <w:r>
        <w:t xml:space="preserve"> </w:t>
      </w:r>
      <w:r>
        <w:t xml:space="preserve">(Table </w:t>
      </w:r>
      <w:hyperlink w:anchor="tab:planner_profiles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A*</w:t>
      </w:r>
      <w:r>
        <w:t xml:space="preserve"> </w:t>
      </w:r>
      <w:r>
        <w:t xml:space="preserve">(Hart et al. 1968)</w:t>
      </w:r>
      <w:r>
        <w:t xml:space="preserve">: static baseline; plans once,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(ignores risk).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Periodic</w:t>
      </w:r>
      <w:r>
        <w:t xml:space="preserve">: replans every 6 steps,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(risk-averse).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Aggressive</w:t>
      </w:r>
      <w:r>
        <w:t xml:space="preserve">: replans on mask change,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(risk-tolerant).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Incremental A*</w:t>
      </w:r>
      <w:r>
        <w:t xml:space="preserve"> </w:t>
      </w:r>
      <w:r>
        <w:t xml:space="preserve">(D* Lite-inspired </w:t>
      </w:r>
      <w:r>
        <w:t xml:space="preserve">(Koenig and Likhachev 2002)</w:t>
      </w:r>
      <w:r>
        <w:t xml:space="preserve">): replans on</w:t>
      </w:r>
      <w:r>
        <w:t xml:space="preserve"> </w:t>
      </w:r>
      <w:r>
        <w:t xml:space="preserve">path invalidation,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APF</w:t>
      </w:r>
      <w:r>
        <w:t xml:space="preserve"> </w:t>
      </w:r>
      <w:r>
        <w:t xml:space="preserve">(Khatib 1986)</w:t>
      </w:r>
      <w:r>
        <w:t xml:space="preserve">: gradient repulsion,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3.0</m:t>
        </m:r>
      </m:oMath>
      <w:r>
        <w:t xml:space="preserve">.</w:t>
      </w:r>
    </w:p>
    <w:bookmarkStart w:id="30" w:name="tab:planner_profiles"/>
    <w:p>
      <w:pPr>
        <w:pStyle w:val="TableCaption"/>
      </w:pPr>
      <w:r>
        <w:t xml:space="preserve">Planner profiles. The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column reveals the paper’s central finding:</w:t>
      </w:r>
      <w:r>
        <w:t xml:space="preserve"> </w:t>
      </w:r>
      <w:r>
        <w:t xml:space="preserve">the best navigator (Incr. A*, rank #1) ranks only #4 on mission effectiveness.</w:t>
      </w:r>
      <w:r>
        <w:t xml:space="preserve"> </w:t>
      </w:r>
      <w:r>
        <w:t xml:space="preserve">The best rescuer (Aggressive, mission rank #1) ranks #3 on navigation.</w:t>
      </w:r>
      <w:r>
        <w:t xml:space="preserve"> </w:t>
      </w:r>
      <w:r>
        <w:t xml:space="preserve">SR = feasible success rate; MS = normalised mission score.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anner profiles. The \Delta column reveals the paper’s central finding: the best navigator (Incr. A*, rank #1) ranks only #4 on mission effectiveness. The best rescuer (Aggressive, mission rank #1) ranks #3 on navigation. SR = feasible success rate; MS = normalised mission score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 Coeff.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Replan Trigger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SR%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Nav.R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Ms.R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Δ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Every 6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obstacle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path blocked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Every step (gradient)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</w:tbl>
    <w:bookmarkEnd w:id="30"/>
    <w:bookmarkEnd w:id="31"/>
    <w:bookmarkStart w:id="36" w:name="sec:missions"/>
    <w:p>
      <w:pPr>
        <w:pStyle w:val="Heading2"/>
      </w:pPr>
      <w:r>
        <w:t xml:space="preserve">Mission Scoring</w:t>
      </w:r>
    </w:p>
    <w:p>
      <w:pPr>
        <w:pStyle w:val="FirstParagraph"/>
      </w:pPr>
      <w:r>
        <w:t xml:space="preserve">Standard benchmarks count successes. FLARE measures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each success by defining a mission score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is</w:t>
      </w:r>
      <w:r>
        <w:t xml:space="preserve"> </w:t>
      </w:r>
      <w:r>
        <w:rPr>
          <w:i/>
          <w:iCs/>
        </w:rPr>
        <w:t xml:space="preserve">strictly decreasing</w:t>
      </w:r>
      <w:r>
        <w:t xml:space="preserve"> </w:t>
      </w:r>
      <w:r>
        <w:t xml:space="preserve">in delivery time 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(Figure </w:t>
      </w:r>
      <w:hyperlink w:anchor="fig:missiondecay">
        <w:r>
          <w:rPr>
            <w:rStyle w:val="Hyperlink"/>
          </w:rPr>
          <w:t xml:space="preserve">5</w:t>
        </w:r>
      </w:hyperlink>
      <w:r>
        <w:t xml:space="preserve">). Three mission types specialise this</w:t>
      </w:r>
      <w:r>
        <w:t xml:space="preserve"> </w:t>
      </w:r>
      <w:r>
        <w:t xml:space="preserve">framework:</w:t>
      </w:r>
    </w:p>
    <w:p>
      <w:pPr>
        <w:pStyle w:val="BodyText"/>
      </w:pPr>
      <w:r>
        <w:rPr>
          <w:b/>
          <w:bCs/>
        </w:rPr>
        <w:t xml:space="preserve">Pharma delivery</w:t>
      </w:r>
      <w:r>
        <w:t xml:space="preserve"> </w:t>
      </w:r>
      <w:r>
        <w:t xml:space="preserve">(Penteli): medication efficacy decays</w:t>
      </w:r>
      <w:r>
        <w:t xml:space="preserve"> </w:t>
      </w:r>
      <w:r>
        <w:t xml:space="preserve">quadratically,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Urban rescue</w:t>
      </w:r>
      <w:r>
        <w:t xml:space="preserve"> </w:t>
      </w:r>
      <w:r>
        <w:t xml:space="preserve">(Piraeus): casualty survival decays exponentially</w:t>
      </w:r>
      <w:r>
        <w:t xml:space="preserve"> </w:t>
      </w:r>
      <w:r>
        <w:t xml:space="preserve">with fire-coupled amplification: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κ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fire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base decay rate and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fire-coupling constant. Casualties near active fire expire faster, explicitly</w:t>
      </w:r>
      <w:r>
        <w:t xml:space="preserve"> </w:t>
      </w:r>
      <w:r>
        <w:t xml:space="preserve">rewarding planners willing to enter dangerous zones.</w:t>
      </w:r>
    </w:p>
    <w:p>
      <w:pPr>
        <w:pStyle w:val="BodyText"/>
      </w:pPr>
      <w:r>
        <w:rPr>
          <w:b/>
          <w:bCs/>
        </w:rPr>
        <w:t xml:space="preserve">Fire surveillance</w:t>
      </w:r>
      <w:r>
        <w:t xml:space="preserve"> </w:t>
      </w:r>
      <w:r>
        <w:t xml:space="preserve">(Downtown): data freshness decays linearly,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t xml:space="preserve">. A fire perimeter map becomes stale as the front advances.</w:t>
      </w:r>
    </w:p>
    <w:p>
      <w:pPr>
        <w:pStyle w:val="BodyText"/>
      </w:pPr>
      <w:r>
        <w:rPr>
          <w:b/>
          <w:bCs/>
        </w:rPr>
        <w:t xml:space="preserve">Key property.</w:t>
      </w:r>
      <w:r>
        <w:t xml:space="preserve"> </w:t>
      </w:r>
      <w:r>
        <w:t xml:space="preserve">All three functions share one characteristic: they</w:t>
      </w:r>
      <w:r>
        <w:t xml:space="preserve"> </w:t>
      </w:r>
      <w:r>
        <w:t xml:space="preserve">are strictly decreasing in </w:t>
      </w:r>
      <m:oMath>
        <m:r>
          <m:t>t</m:t>
        </m:r>
      </m:oMath>
      <w:r>
        <w:t xml:space="preserve">. Every additional step of detour</w:t>
      </w:r>
      <w:r>
        <w:t xml:space="preserve"> </w:t>
      </w:r>
      <w:r>
        <w:rPr>
          <w:i/>
          <w:iCs/>
        </w:rPr>
        <w:t xml:space="preserve">destroys mission value</w:t>
      </w:r>
      <w:r>
        <w:t xml:space="preserve">. Cross-scenario comparison uses</w:t>
      </w:r>
      <w:r>
        <w:t xml:space="preserve"> </w:t>
      </w:r>
      <w:r>
        <w:t xml:space="preserve">per-scenario normalisation (divide by scenario max, then average).</w:t>
      </w:r>
    </w:p>
    <w:bookmarkStart w:id="35" w:name="fig:missiondecay"/>
    <w:p>
      <w:pPr>
        <w:pStyle w:val="CaptionedFigure"/>
      </w:pPr>
      <w:r>
        <w:drawing>
          <wp:inline>
            <wp:extent cx="2908300" cy="3873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figures/mission_score_decomposition.pdf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87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Why speed matters. All three mission scores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decay with</w:t>
      </w:r>
      <w:r>
        <w:t xml:space="preserve"> </w:t>
      </w:r>
      <w:r>
        <w:t xml:space="preserve">delivery time. The shaded gap between Aggressive (low </w:t>
      </w:r>
      <m:oMath>
        <m:r>
          <m:t>t</m:t>
        </m:r>
      </m:oMath>
      <w:r>
        <w:t xml:space="preserve">) and Periodic</w:t>
      </w:r>
      <w:r>
        <w:t xml:space="preserve"> </w:t>
      </w:r>
      <w:r>
        <w:t xml:space="preserve">(high </w:t>
      </w:r>
      <m:oMath>
        <m:r>
          <m:t>t</m:t>
        </m:r>
      </m:oMath>
      <w:r>
        <w:t xml:space="preserve">) quantifies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cost of a risk-averse detour.</w:t>
      </w:r>
    </w:p>
    <w:bookmarkEnd w:id="35"/>
    <w:bookmarkEnd w:id="36"/>
    <w:bookmarkStart w:id="37" w:name="sec:coupling"/>
    <w:p>
      <w:pPr>
        <w:pStyle w:val="Heading2"/>
      </w:pPr>
      <w:r>
        <w:t xml:space="preserve">Risk–Time–Mission Coupling</w:t>
      </w:r>
    </w:p>
    <w:p>
      <w:pPr>
        <w:pStyle w:val="FirstParagraph"/>
      </w:pPr>
      <w:r>
        <w:t xml:space="preserve">The link between risk aversion and mission failure is now explicit.</w:t>
      </w:r>
      <w:r>
        <w:t xml:space="preserve"> </w:t>
      </w:r>
      <w:r>
        <w:t xml:space="preserve">Increasing </w:t>
      </w:r>
      <m:oMath>
        <m:r>
          <m:t>ρ</m:t>
        </m:r>
      </m:oMath>
      <w:r>
        <w:t xml:space="preserve"> </w:t>
      </w:r>
      <w:r>
        <w:t xml:space="preserve">produces safer paths with higher survival probability but</w:t>
      </w:r>
      <w:r>
        <w:t xml:space="preserve"> </w:t>
      </w:r>
      <w:r>
        <w:t xml:space="preserve">longer travel time </w:t>
      </w:r>
      <m:oMath>
        <m:r>
          <m:t>t</m:t>
        </m:r>
      </m:oMath>
      <w:r>
        <w:t xml:space="preserve">. Because every mission score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strictly</w:t>
      </w:r>
      <w:r>
        <w:t xml:space="preserve"> </w:t>
      </w:r>
      <w:r>
        <w:t xml:space="preserve">decreasing in </w:t>
      </w:r>
      <m:oMath>
        <m:r>
          <m:t>t</m:t>
        </m:r>
      </m:oMath>
      <w:r>
        <w:t xml:space="preserve">, the additional travel time directly reduces mission</w:t>
      </w:r>
      <w:r>
        <w:t xml:space="preserve"> </w:t>
      </w:r>
      <w:r>
        <w:t xml:space="preserve">value. This creates a fundamental trade-off: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ρ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more risk-averse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t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longer detour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 </m:t>
                  </m:r>
                  <m:r>
                    <m:rPr>
                      <m:sty m:val="p"/>
                    </m:rPr>
                    <m:t>↓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worse mission outcome</m:t>
              </m:r>
            </m:lim>
          </m:limLow>
        </m:oMath>
      </m:oMathPara>
    </w:p>
    <w:p>
      <w:pPr>
        <w:pStyle w:val="FirstParagraph"/>
      </w:pPr>
      <w:r>
        <w:t xml:space="preserve">This coupling is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behind the ranking inversion: the</w:t>
      </w:r>
      <w:r>
        <w:t xml:space="preserve"> </w:t>
      </w:r>
      <w:r>
        <w:t xml:space="preserve">planner with the highest survival probability is penalised not by</w:t>
      </w:r>
      <w:r>
        <w:t xml:space="preserve"> </w:t>
      </w:r>
      <w:r>
        <w:t xml:space="preserve">hazards but by the delivery time its detours impose—an inevitable</w:t>
      </w:r>
      <w:r>
        <w:t xml:space="preserve"> </w:t>
      </w:r>
      <w:r>
        <w:t xml:space="preserve">consequence of any strictly time-decreasing objective.</w:t>
      </w:r>
    </w:p>
    <w:bookmarkEnd w:id="37"/>
    <w:bookmarkStart w:id="38" w:name="sec: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Each scenario is grounded in a real Greek wildfire event</w:t>
      </w:r>
      <w:r>
        <w:t xml:space="preserve"> </w:t>
      </w:r>
      <w:r>
        <w:t xml:space="preserve">(Table </w:t>
      </w:r>
      <w:hyperlink w:anchor="tab:scenario_overview">
        <w:r>
          <w:rPr>
            <w:rStyle w:val="Hyperlink"/>
          </w:rPr>
          <w:t xml:space="preserve">[tab:scenario_overview]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Penteli</w:t>
      </w:r>
      <w:r>
        <w:t xml:space="preserve"> </w:t>
      </w:r>
      <w:r>
        <w:t xml:space="preserve">(Evia 2021): wind-driven fire in a wildland–urban</w:t>
      </w:r>
      <w:r>
        <w:t xml:space="preserve"> </w:t>
      </w:r>
      <w:r>
        <w:t xml:space="preserve">interface; the mission is insulin delivery before efficacy degrades.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Piraeus</w:t>
      </w:r>
      <w:r>
        <w:t xml:space="preserve"> </w:t>
      </w:r>
      <w:r>
        <w:t xml:space="preserve">(Rhodes 2023): dense port with structural collapse;</w:t>
      </w:r>
      <w:r>
        <w:t xml:space="preserve"> </w:t>
      </w:r>
      <w:r>
        <w:t xml:space="preserve">three casualties with fire-coupled survival.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Downtown</w:t>
      </w:r>
      <w:r>
        <w:t xml:space="preserve"> </w:t>
      </w:r>
      <w:r>
        <w:t xml:space="preserve">(Evros 2023): extreme building density (0.50) with</w:t>
      </w:r>
      <w:r>
        <w:t xml:space="preserve"> </w:t>
      </w:r>
      <w:r>
        <w:t xml:space="preserve">NFZ corridors for manned aircraft.</w:t>
      </w:r>
    </w:p>
    <w:bookmarkEnd w:id="38"/>
    <w:bookmarkStart w:id="39" w:name="sec: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FLARE enforces 36 contracts across 15 families, verified by 189 automated</w:t>
      </w:r>
      <w:r>
        <w:t xml:space="preserve"> </w:t>
      </w:r>
      <w:r>
        <w:t xml:space="preserve">tests. Key guarantees: bit-identical replay from a single RNG seed (DC-1),</w:t>
      </w:r>
      <w:r>
        <w:t xml:space="preserve"> </w:t>
      </w:r>
      <w:r>
        <w:t xml:space="preserve">planner-agnostic corridor interdictions (FC-1), frozen hazard state during</w:t>
      </w:r>
      <w:r>
        <w:t xml:space="preserve"> </w:t>
      </w:r>
      <w:r>
        <w:t xml:space="preserve">planning (FD-3). Infeasible episodes are detected at reset and excluded</w:t>
      </w:r>
      <w:r>
        <w:t xml:space="preserve"> </w:t>
      </w:r>
      <w:r>
        <w:t xml:space="preserve">uniformly across all planners.</w:t>
      </w:r>
    </w:p>
    <w:bookmarkEnd w:id="39"/>
    <w:bookmarkEnd w:id="40"/>
    <w:bookmarkStart w:id="57" w:name="sec:results"/>
    <w:p>
      <w:pPr>
        <w:pStyle w:val="Heading1"/>
      </w:pPr>
      <w:r>
        <w:t xml:space="preserve">Results</w:t>
      </w:r>
    </w:p>
    <w:bookmarkStart w:id="41" w:name="sec:setup"/>
    <w:p>
      <w:pPr>
        <w:pStyle w:val="Heading2"/>
      </w:pPr>
      <w:r>
        <w:t xml:space="preserve">Experimental Setup</w:t>
      </w:r>
    </w:p>
    <w:p>
      <w:pPr>
        <w:pStyle w:val="FirstParagraph"/>
      </w:pPr>
      <w:r>
        <w:t xml:space="preserve">Five planners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three scenarios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30 seeds yield</w:t>
      </w:r>
      <w:r>
        <w:t xml:space="preserve"> </w:t>
      </w:r>
      <w:r>
        <w:t xml:space="preserve">450 episodes; 7.8% are structurally infeasible and excluded. Statistics</w:t>
      </w:r>
      <w:r>
        <w:t xml:space="preserve"> </w:t>
      </w:r>
      <w:r>
        <w:t xml:space="preserve">follow Agarwal et al. </w:t>
      </w:r>
      <w:r>
        <w:t xml:space="preserve">(Agarwal et al. 2021)</w:t>
      </w:r>
      <w:r>
        <w:t xml:space="preserve">: IQM with 95% bootstrap CIs</w:t>
      </w:r>
      <w:r>
        <w:t xml:space="preserve"> </w:t>
      </w:r>
      <w:r>
        <w:t xml:space="preserve">(10,000 resamples), Wilcoxon signed-rank with Bonferroni correction,</w:t>
      </w:r>
      <w:r>
        <w:t xml:space="preserve"> </w:t>
      </w:r>
      <w:r>
        <w:t xml:space="preserve">Cliff’s delta, and Friedman tests.</w:t>
      </w:r>
    </w:p>
    <w:bookmarkEnd w:id="41"/>
    <w:bookmarkStart w:id="43" w:name="sec:navperf"/>
    <w:p>
      <w:pPr>
        <w:pStyle w:val="Heading2"/>
      </w:pPr>
      <w:r>
        <w:t xml:space="preserve">Navigation Performance</w:t>
      </w:r>
    </w:p>
    <w:p>
      <w:pPr>
        <w:pStyle w:val="FirstParagraph"/>
      </w:pPr>
      <w:r>
        <w:t xml:space="preserve">A* never succeeds: corridor dynamic obstacles block the reference path before fire</w:t>
      </w:r>
      <w:r>
        <w:t xml:space="preserve"> </w:t>
      </w:r>
      <w:r>
        <w:t xml:space="preserve">even arrives—a consequence of ignoring risk entirely.</w:t>
      </w:r>
      <w:r>
        <w:t xml:space="preserve"> </w:t>
      </w:r>
      <w:r>
        <w:t xml:space="preserve">Among adaptive planners, Incremental A* leads (62.7% feasible SR),</w:t>
      </w:r>
      <w:r>
        <w:t xml:space="preserve"> </w:t>
      </w:r>
      <w:r>
        <w:t xml:space="preserve">followed by Periodic (55.4%), Aggressive (50.6%), and APF (33.7%).</w:t>
      </w:r>
    </w:p>
    <w:p>
      <w:pPr>
        <w:pStyle w:val="BodyText"/>
      </w:pPr>
      <w:r>
        <w:t xml:space="preserve">Table </w:t>
      </w:r>
      <w:hyperlink w:anchor="tab:mission_scorecar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disaggregates by scenario with</w:t>
      </w:r>
      <w:r>
        <w:t xml:space="preserve"> </w:t>
      </w:r>
      <w:r>
        <w:t xml:space="preserve">mission-specific metrics and verdicts. Two patterns stand out:</w:t>
      </w:r>
      <w:r>
        <w:t xml:space="preserve"> </w:t>
      </w:r>
      <w:r>
        <w:t xml:space="preserve">(i) Piraeus yields the highest success rates (67–70%) because its dense</w:t>
      </w:r>
      <w:r>
        <w:t xml:space="preserve"> </w:t>
      </w:r>
      <w:r>
        <w:t xml:space="preserve">layout provides many alternative routes;</w:t>
      </w:r>
      <w:r>
        <w:t xml:space="preserve"> </w:t>
      </w:r>
      <w:r>
        <w:t xml:space="preserve">(ii) Downtown is hardest, with extreme density constraining detours.</w:t>
      </w:r>
    </w:p>
    <w:bookmarkStart w:id="42" w:name="tab:mission_scorecard"/>
    <w:p>
      <w:pPr>
        <w:pStyle w:val="TableCaption"/>
      </w:pPr>
      <w:r>
        <w:t xml:space="preserve">Mission scorecard. Per-scenario results with mission-specific metrics.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marks the best mission score per scenario.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marks the best</w:t>
      </w:r>
      <w:r>
        <w:t xml:space="preserve"> </w:t>
      </w:r>
      <w:r>
        <w:t xml:space="preserve">success rate. Note that they land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planners—the paper’s</w:t>
      </w:r>
      <w:r>
        <w:t xml:space="preserve"> </w:t>
      </w:r>
      <w:r>
        <w:t xml:space="preserve">central finding.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ssion scorecard. Per-scenario results with mission-specific metrics. \star marks the best mission score per scenario. Bold marks the best success rate. Note that they land on different planners—the paper’s central finding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SR%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 Step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Mission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Verdict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Penteli — Insulin delivery to fire-isolated village (Evia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Walks straight into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Safe detour, insulin degrades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Cuts through smoke, fast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t xml:space="preserve"> </w:t>
            </w: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Best navigator, delivers 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Repulsion traps waste 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Blocked by fire and 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Safe route, casualty deteriorates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t xml:space="preserve"> </w:t>
            </w: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Reaches casualty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Good navigation, moderate rescue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Local minima delay rescue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Trapped in dense urban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Cautious survey, data goes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Bold coverage, some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t xml:space="preserve"> </w:t>
            </w:r>
            <w: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Fresh survey, maximum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Reactive drift, slow coverage</w:t>
            </w:r>
          </w:p>
        </w:tc>
      </w:tr>
    </w:tbl>
    <w:bookmarkEnd w:id="42"/>
    <w:bookmarkEnd w:id="43"/>
    <w:bookmarkStart w:id="48" w:name="sec:ranking"/>
    <w:p>
      <w:pPr>
        <w:pStyle w:val="Heading2"/>
      </w:pPr>
      <w:r>
        <w:t xml:space="preserve">The Ranking Inversion</w:t>
      </w:r>
    </w:p>
    <w:p>
      <w:pPr>
        <w:pStyle w:val="FirstParagraph"/>
      </w:pPr>
      <w:r>
        <w:t xml:space="preserve">Table </w:t>
      </w:r>
      <w:hyperlink w:anchor="tab:planner_profil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contains the paper’s central result.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 Rank column (</w:t>
      </w:r>
      <m:oMath>
        <m:r>
          <m:rPr>
            <m:nor/>
            <m:sty m:val="p"/>
          </m:rPr>
          <m:t>Nav Rank</m:t>
        </m:r>
        <m:r>
          <m:rPr>
            <m:sty m:val="p"/>
          </m:rPr>
          <m:t>−</m:t>
        </m:r>
        <m:r>
          <m:rPr>
            <m:nor/>
            <m:sty m:val="p"/>
          </m:rPr>
          <m:t>Mission Rank</m:t>
        </m:r>
      </m:oMath>
      <w:r>
        <w:t xml:space="preserve">)</w:t>
      </w:r>
      <w:r>
        <w:t xml:space="preserve"> </w:t>
      </w:r>
      <w:r>
        <w:t xml:space="preserve">quantifies the discrepancy between navigation and rescue performance.</w:t>
      </w:r>
      <w:r>
        <w:t xml:space="preserve"> </w:t>
      </w:r>
      <w:r>
        <w:t xml:space="preserve">We define a</w:t>
      </w:r>
      <w:r>
        <w:t xml:space="preserve"> </w:t>
      </w:r>
      <w:r>
        <w:rPr>
          <w:i/>
          <w:iCs/>
        </w:rPr>
        <w:t xml:space="preserve">ranking inversion</w:t>
      </w:r>
      <w:r>
        <w:t xml:space="preserve"> </w:t>
      </w:r>
      <w:r>
        <w:t xml:space="preserve">as the condition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nor/>
            <m:sty m:val="p"/>
          </m:rPr>
          <m:t>SR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t>M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nor/>
            <m:sty m:val="p"/>
          </m:rPr>
          <m:t>SR</m:t>
        </m:r>
      </m:oMath>
      <w:r>
        <w:t xml:space="preserve"> </w:t>
      </w:r>
      <w:r>
        <w:t xml:space="preserve">is feasible success rate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normalised mission</w:t>
      </w:r>
      <w:r>
        <w:t xml:space="preserve"> </w:t>
      </w:r>
      <w:r>
        <w:t xml:space="preserve">score. This condition holds across all three scenarios and is confirmed</w:t>
      </w:r>
      <w:r>
        <w:t xml:space="preserve"> </w:t>
      </w:r>
      <w:r>
        <w:t xml:space="preserve">by Friedman test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Navigation success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proxy</w:t>
      </w:r>
      <w:r>
        <w:t xml:space="preserve"> </w:t>
      </w:r>
      <w:r>
        <w:t xml:space="preserve">for mission effectiveness.</w:t>
      </w:r>
    </w:p>
    <w:p>
      <w:pPr>
        <w:pStyle w:val="BodyText"/>
      </w:pPr>
      <w:r>
        <w:rPr>
          <w:b/>
          <w:bCs/>
        </w:rPr>
        <w:t xml:space="preserve">The best navigator fails at rescue.</w:t>
      </w:r>
      <w:r>
        <w:t xml:space="preserve"> </w:t>
      </w:r>
      <w:r>
        <w:t xml:space="preserve">Incremental A* ranks #1 in</w:t>
      </w:r>
      <w:r>
        <w:t xml:space="preserve"> </w:t>
      </w:r>
      <w:r>
        <w:t xml:space="preserve">SR but only #4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). Its efficient,</w:t>
      </w:r>
      <w:r>
        <w:t xml:space="preserve"> </w:t>
      </w:r>
      <w:r>
        <w:t xml:space="preserve">minimal replanning reaches the goal quickly but bypasses time-critical</w:t>
      </w:r>
      <w:r>
        <w:t xml:space="preserve"> </w:t>
      </w:r>
      <w:r>
        <w:t xml:space="preserve">intermediate tasks, delivering medication after significant efficacy loss.</w:t>
      </w:r>
      <w:r>
        <w:t xml:space="preserve"> </w:t>
      </w:r>
      <w:r>
        <w:t xml:space="preserve">The low replan count (7.5 mean) means the planner does not</w:t>
      </w:r>
      <w:r>
        <w:t xml:space="preserve"> </w:t>
      </w:r>
      <w:r>
        <w:t xml:space="preserve">re-evaluate route quality as fire evolves.</w:t>
      </w:r>
    </w:p>
    <w:p>
      <w:pPr>
        <w:pStyle w:val="BodyText"/>
      </w:pPr>
      <w:r>
        <w:rPr>
          <w:b/>
          <w:bCs/>
        </w:rPr>
        <w:t xml:space="preserve">The best rescuer is not the safest.</w:t>
      </w:r>
      <w:r>
        <w:t xml:space="preserve"> </w:t>
      </w:r>
      <w:r>
        <w:t xml:space="preserve">Aggressive Replan ranks #3</w:t>
      </w:r>
      <w:r>
        <w:t xml:space="preserve"> </w:t>
      </w:r>
      <w:r>
        <w:t xml:space="preserve">in SR but #1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  <w:r>
        <w:t xml:space="preserve">). Its low coefficient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 admits routes through fire fringes: when it survives,</w:t>
      </w:r>
      <w:r>
        <w:t xml:space="preserve"> </w:t>
      </w:r>
      <w:r>
        <w:t xml:space="preserve">medication retains high efficacy (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0.7</m:t>
        </m:r>
      </m:oMath>
      <w:r>
        <w:t xml:space="preserve">) and casualties remain</w:t>
      </w:r>
      <w:r>
        <w:t xml:space="preserve"> </w:t>
      </w:r>
      <w:r>
        <w:t xml:space="preserve">alive (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). Low </w:t>
      </w:r>
      <m:oMath>
        <m:r>
          <m:t>ρ</m:t>
        </m:r>
      </m:oMath>
      <w:r>
        <w:t xml:space="preserve"> </w:t>
      </w:r>
      <w:r>
        <w:t xml:space="preserve">yields shorter paths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↓</m:t>
        </m:r>
      </m:oMath>
      <w:r>
        <w:t xml:space="preserve">), directly increasing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mechanism follows directly from the coupling in</w:t>
      </w:r>
      <w:r>
        <w:t xml:space="preserve"> </w:t>
      </w:r>
      <w:r>
        <w:t xml:space="preserve">Section </w:t>
      </w:r>
      <w:hyperlink w:anchor="sec:coupling">
        <w:r>
          <w:rPr>
            <w:rStyle w:val="Hyperlink"/>
          </w:rPr>
          <w:t xml:space="preserve">2.6</w:t>
        </w:r>
      </w:hyperlink>
      <w:r>
        <w:t xml:space="preserve">: Aggressive applies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0.5</m:t>
        </m:r>
        <m:r>
          <m:t>R</m:t>
        </m:r>
      </m:oMath>
      <w:r>
        <w:t xml:space="preserve">, barely</w:t>
      </w:r>
      <w:r>
        <w:t xml:space="preserve"> </w:t>
      </w:r>
      <w:r>
        <w:t xml:space="preserve">inflating costs near fire, while Periodic applies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5.0</m:t>
        </m:r>
        <m:r>
          <m:t>R</m:t>
        </m:r>
      </m:oMath>
      <w:r>
        <w:t xml:space="preserve">—a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stronger aversion signal that forces massive detours.</w:t>
      </w:r>
      <w:r>
        <w:t xml:space="preserve"> </w:t>
      </w:r>
      <w:r>
        <w:rPr>
          <w:i/>
          <w:iCs/>
        </w:rPr>
        <w:t xml:space="preserve">The detour saves the planner’s life but costs the patient’s.</w:t>
      </w:r>
      <w:r>
        <w:t xml:space="preserve"> </w:t>
      </w:r>
      <w:r>
        <w:t xml:space="preserve">Figure </w:t>
      </w:r>
      <w:hyperlink w:anchor="fig:scatter">
        <w:r>
          <w:rPr>
            <w:rStyle w:val="Hyperlink"/>
          </w:rPr>
          <w:t xml:space="preserve">6</w:t>
        </w:r>
      </w:hyperlink>
      <w:r>
        <w:t xml:space="preserve">(a) makes this visible: planners on the</w:t>
      </w:r>
      <w:r>
        <w:t xml:space="preserve"> </w:t>
      </w:r>
      <w:r>
        <w:t xml:space="preserve">SR-optimal frontier (right side) fall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diagonal in mission</w:t>
      </w:r>
      <w:r>
        <w:t xml:space="preserve"> </w:t>
      </w:r>
      <w:r>
        <w:t xml:space="preserve">score—the two rankings disagree.</w:t>
      </w:r>
    </w:p>
    <w:bookmarkStart w:id="47" w:name="fig:scatt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-</w:t>
            </w:r>
            <w:r>
              <w:t xml:space="preserve">0cm</w:t>
            </w:r>
            <w:r>
              <w:t xml:space="preserve"> </w:t>
            </w:r>
            <w:r>
              <w:drawing>
                <wp:inline>
                  <wp:extent cx="5334000" cy="2192503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figures/mission_impact_scatter_v2.pdf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92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The ranking inversion, visualised. (</w:t>
      </w:r>
      <w:r>
        <w:rPr>
          <w:b/>
          <w:bCs/>
        </w:rPr>
        <w:t xml:space="preserve">a</w:t>
      </w:r>
      <w:r>
        <w:t xml:space="preserve">) SR vs. mission score;</w:t>
      </w:r>
      <w:r>
        <w:t xml:space="preserve"> </w:t>
      </w:r>
      <w:r>
        <w:t xml:space="preserve">the dashed line connecting Incr. A* to Aggressive crosses the</w:t>
      </w:r>
      <w:r>
        <w:t xml:space="preserve"> </w:t>
      </w:r>
      <w:r>
        <w:t xml:space="preserve">diagonal—the two rankings disagree. (</w:t>
      </w:r>
      <w:r>
        <w:rPr>
          <w:b/>
          <w:bCs/>
        </w:rPr>
        <w:t xml:space="preserve">b</w:t>
      </w:r>
      <w:r>
        <w:t xml:space="preserve">) Mission-score bars confirm:</w:t>
      </w:r>
      <w:r>
        <w:t xml:space="preserve"> </w:t>
      </w:r>
      <w:r>
        <w:t xml:space="preserve">Aggressive achieves the highest score despite middling SR.</w:t>
      </w:r>
    </w:p>
    <w:bookmarkEnd w:id="47"/>
    <w:bookmarkEnd w:id="48"/>
    <w:bookmarkStart w:id="53" w:name="sec:qualitative"/>
    <w:p>
      <w:pPr>
        <w:pStyle w:val="Heading2"/>
      </w:pPr>
      <w:r>
        <w:t xml:space="preserve">Qualitative Evidence</w:t>
      </w:r>
    </w:p>
    <w:p>
      <w:pPr>
        <w:pStyle w:val="FirstParagraph"/>
      </w:pPr>
      <w:r>
        <w:t xml:space="preserve">Figure </w:t>
      </w:r>
      <w:hyperlink w:anchor="fig:comparison5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provides spatial confirmation. Three planners</w:t>
      </w:r>
      <w:r>
        <w:t xml:space="preserve"> </w:t>
      </w:r>
      <w:r>
        <w:t xml:space="preserve">face the same wildfire yet produce strikingly different routes. A* collides</w:t>
      </w:r>
      <w:r>
        <w:t xml:space="preserve"> </w:t>
      </w:r>
      <w:r>
        <w:t xml:space="preserve">with the first dynamic obstacle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78</m:t>
        </m:r>
      </m:oMath>
      <w:r>
        <w:t xml:space="preserve">. Aggressive threads through smoke in</w:t>
      </w:r>
      <w:r>
        <w:t xml:space="preserve"> </w:t>
      </w:r>
      <w:r>
        <w:t xml:space="preserve">522 steps. Periodic detours the entire fire perimeter in 524 steps via a</w:t>
      </w:r>
      <w:r>
        <w:t xml:space="preserve"> </w:t>
      </w:r>
      <w:r>
        <w:t xml:space="preserve">path twice as long. The coefficient—not the algorithm—determines the route.</w:t>
      </w:r>
      <w:r>
        <w:t xml:space="preserve"> </w:t>
      </w:r>
      <w:r>
        <w:t xml:space="preserve">Aggressive and Periodic arrive in nearly the same number of steps (522</w:t>
      </w:r>
      <w:r>
        <w:t xml:space="preserve"> </w:t>
      </w:r>
      <w:r>
        <w:t xml:space="preserve">vs. 524) but via radically different paths: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controls route</w:t>
      </w:r>
      <w:r>
        <w:t xml:space="preserve"> </w:t>
      </w:r>
      <w:r>
        <w:t xml:space="preserve">geometry, not raw speed.</w:t>
      </w:r>
    </w:p>
    <w:bookmarkStart w:id="52" w:name="fig:comparison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-</w:t>
            </w:r>
            <w:r>
              <w:t xml:space="preserve">0cm</w:t>
            </w:r>
            <w:r>
              <w:t xml:space="preserve"> </w:t>
            </w:r>
            <w:r>
              <w:drawing>
                <wp:inline>
                  <wp:extent cx="5168900" cy="1943100"/>
                  <wp:effectExtent b="0" l="0" r="0" t="0"/>
                  <wp:docPr descr="image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figures/trajectory_comparison_5panel.pdf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9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Same fire, three fates (Penteli, seed 42). A* (left) collides</w:t>
      </w:r>
      <w:r>
        <w:t xml:space="preserve"> </w:t>
      </w:r>
      <w:r>
        <w:t xml:space="preserve">with a dynamic obstacle. Aggressive (centre) threads through smoke.</w:t>
      </w:r>
      <w:r>
        <w:t xml:space="preserve"> </w:t>
      </w:r>
      <w:r>
        <w:t xml:space="preserve">Periodic (right) detours safely—but insulin degrades en route. Black</w:t>
      </w:r>
      <w:r>
        <w:t xml:space="preserve"> </w:t>
      </w:r>
      <w:r>
        <w:t xml:space="preserve">circles denote dynamic obstacles; blue cross denotes the UAV.</w:t>
      </w:r>
      <w:r>
        <w:t xml:space="preserve"> </w:t>
      </w:r>
      <w:r>
        <w:t xml:space="preserve">Yellow cross: target. This figure illustrates the ranking inversion:</w:t>
      </w:r>
      <w:r>
        <w:t xml:space="preserve"> </w:t>
      </w:r>
      <w:r>
        <w:t xml:space="preserve">safer paths lead to worse mission outcomes.</w:t>
      </w:r>
    </w:p>
    <w:bookmarkEnd w:id="52"/>
    <w:bookmarkEnd w:id="53"/>
    <w:bookmarkStart w:id="55" w:name="sec:stats"/>
    <w:p>
      <w:pPr>
        <w:pStyle w:val="Heading2"/>
      </w:pPr>
      <w:r>
        <w:t xml:space="preserve">Statistical Validation</w:t>
      </w:r>
    </w:p>
    <w:p>
      <w:pPr>
        <w:pStyle w:val="FirstParagraph"/>
      </w:pPr>
      <w:r>
        <w:t xml:space="preserve">Wilcoxon tests (Bonferroni-corrected) confirm A* differs from every</w:t>
      </w:r>
      <w:r>
        <w:t xml:space="preserve"> </w:t>
      </w:r>
      <w:r>
        <w:t xml:space="preserve">adaptive planner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Critically,</w:t>
      </w:r>
      <w:r>
        <w:t xml:space="preserve"> </w:t>
      </w:r>
      <w:r>
        <w:rPr>
          <w:i/>
          <w:iCs/>
        </w:rPr>
        <w:t xml:space="preserve">no significant</w:t>
      </w:r>
      <w:r>
        <w:rPr>
          <w:i/>
          <w:iCs/>
        </w:rP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exists between Periodic and Aggressive in SR (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):</w:t>
      </w:r>
      <w:r>
        <w:t xml:space="preserve"> </w:t>
      </w:r>
      <w:r>
        <w:t xml:space="preserve">navigation success alone cannot separate them. The discriminator is mission</w:t>
      </w:r>
      <w:r>
        <w:t xml:space="preserve"> </w:t>
      </w:r>
      <w:r>
        <w:t xml:space="preserve">score: a Friedman test yields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190.8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</w:t>
      </w:r>
      <w:r>
        <w:t xml:space="preserve"> </w:t>
      </w:r>
      <w:r>
        <w:t xml:space="preserve">establishing the ranking inversion as statistically robust</w:t>
      </w:r>
      <w:r>
        <w:t xml:space="preserve"> </w:t>
      </w:r>
      <w:r>
        <w:t xml:space="preserve">(Table </w:t>
      </w:r>
      <w:hyperlink w:anchor="tab:stats_summary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54" w:name="tab:stats_summary"/>
    <w:p>
      <w:pPr>
        <w:pStyle w:val="TableCaption"/>
      </w:pPr>
      <w:r>
        <w:t xml:space="preserve">Statistical validation. Friedman confirms ranking differences;</w:t>
      </w:r>
      <w:r>
        <w:t xml:space="preserve"> </w:t>
      </w:r>
      <w:r>
        <w:t xml:space="preserve">bootstrap CIs quantify uncertainty.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cal validation. Friedman confirms ranking differences; bootstrap CIs quantify uncertaint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Friedman (5 planners)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190.8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Planners differ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 vs. Adaptive (Wilcoxon)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 vs. Incr. A* (Cliff’s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 A* vs. APF (Cliff’s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effect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IQM success rate, 95% bootstrap CI (10,000 resamples):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 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62.7%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[50.9, 74.5]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55.4%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[43.1, 67.8]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50.6%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[38.6, 62.6]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33.7%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[22.6, 44.9]</w:t>
            </w:r>
          </w:p>
        </w:tc>
      </w:tr>
    </w:tbl>
    <w:bookmarkEnd w:id="54"/>
    <w:bookmarkEnd w:id="55"/>
    <w:bookmarkStart w:id="56" w:name="sec:ablation"/>
    <w:p>
      <w:pPr>
        <w:pStyle w:val="Heading2"/>
      </w:pPr>
      <w:r>
        <w:t xml:space="preserve">Hazard Ablation</w:t>
      </w:r>
    </w:p>
    <w:p>
      <w:pPr>
        <w:pStyle w:val="FirstParagraph"/>
      </w:pPr>
      <w:r>
        <w:t xml:space="preserve">Isolating dynamics layers reveals their contributions. Fire is the</w:t>
      </w:r>
      <w:r>
        <w:t xml:space="preserve"> </w:t>
      </w:r>
      <w:r>
        <w:t xml:space="preserve">dominant differentiator: it reduces A* to 0% while adaptive planners</w:t>
      </w:r>
      <w:r>
        <w:t xml:space="preserve"> </w:t>
      </w:r>
      <w:r>
        <w:t xml:space="preserve">retain 39–64%. Traffic alone also eliminates A* but has near-zero</w:t>
      </w:r>
      <w:r>
        <w:t xml:space="preserve"> </w:t>
      </w:r>
      <w:r>
        <w:t xml:space="preserve">marginal impact on Periodic and Aggressive—their replanning fully</w:t>
      </w:r>
      <w:r>
        <w:t xml:space="preserve"> </w:t>
      </w:r>
      <w:r>
        <w:t xml:space="preserve">mitigates obstacle blockages. Combined dynamics reduce all planners by</w:t>
      </w:r>
      <w:r>
        <w:t xml:space="preserve"> </w:t>
      </w:r>
      <w:r>
        <w:t xml:space="preserve">10–20 pp relative to fire alone, confirming non-additive layer interaction.</w:t>
      </w:r>
      <w:r>
        <w:t xml:space="preserve"> </w:t>
      </w:r>
      <w:r>
        <w:t xml:space="preserve">Road closures grow proportionally with fire (via the</w:t>
      </w:r>
      <w:r>
        <w:t xml:space="preserve"> </w:t>
      </w:r>
      <w:r>
        <w:t xml:space="preserve">interaction engine); debris accumulates after the collapse delay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). Aggressive Replan’s timely detours maintain forward</w:t>
      </w:r>
      <w:r>
        <w:t xml:space="preserve"> </w:t>
      </w:r>
      <w:r>
        <w:t xml:space="preserve">progress; Periodic’s risk-averse strategy produces extended stalls—a</w:t>
      </w:r>
      <w:r>
        <w:t xml:space="preserve"> </w:t>
      </w:r>
      <w:r>
        <w:t xml:space="preserve">direct consequence of the</w:t>
      </w:r>
      <w:r>
        <w:t xml:space="preserve"> </w:t>
      </w:r>
      <m:oMath>
        <m:r>
          <m:t>ρ</m:t>
        </m:r>
      </m:oMath>
      <w:r>
        <w:t xml:space="preserve">–</w:t>
      </w:r>
      <m:oMath>
        <m:r>
          <m:t>t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coupling.</w:t>
      </w:r>
    </w:p>
    <w:bookmarkEnd w:id="56"/>
    <w:bookmarkEnd w:id="57"/>
    <w:bookmarkStart w:id="61" w:name="sec:discussion"/>
    <w:p>
      <w:pPr>
        <w:pStyle w:val="Heading1"/>
      </w:pPr>
      <w:r>
        <w:t xml:space="preserve">Discussion</w:t>
      </w:r>
    </w:p>
    <w:bookmarkStart w:id="58" w:name="sec:shapley"/>
    <w:p>
      <w:pPr>
        <w:pStyle w:val="Heading2"/>
      </w:pPr>
      <w:r>
        <w:t xml:space="preserve">Shapley Attribution</w:t>
      </w:r>
    </w:p>
    <w:p>
      <w:pPr>
        <w:pStyle w:val="FirstParagraph"/>
      </w:pPr>
      <w:r>
        <w:t xml:space="preserve">Exact Shapley values </w:t>
      </w:r>
      <w:r>
        <w:t xml:space="preserve">(Shapley 1953)</w:t>
      </w:r>
      <w:r>
        <w:t xml:space="preserve"> </w:t>
      </w:r>
      <w:r>
        <w:t xml:space="preserve">over coalitions {fire, traffic,</w:t>
      </w:r>
      <w:r>
        <w:t xml:space="preserve"> </w:t>
      </w:r>
      <w:r>
        <w:t xml:space="preserve">collapse} confirm fire as the dominant hazard for all planners. Traffic</w:t>
      </w:r>
      <w:r>
        <w:t xml:space="preserve"> </w:t>
      </w:r>
      <w:r>
        <w:t xml:space="preserve">degrades A*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t xml:space="preserve">) and APF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</m:t>
        </m:r>
      </m:oMath>
      <w:r>
        <w:t xml:space="preserve">) but has zero</w:t>
      </w:r>
      <w:r>
        <w:t xml:space="preserve"> </w:t>
      </w:r>
      <w:r>
        <w:t xml:space="preserve">marginal impact on Periodic and Aggressive—their replanning absorbs</w:t>
      </w:r>
      <w:r>
        <w:t xml:space="preserve"> </w:t>
      </w:r>
      <w:r>
        <w:t xml:space="preserve">obstacle blockages entirely. Collapse contributes near-zero marginal effect,</w:t>
      </w:r>
      <w:r>
        <w:t xml:space="preserve"> </w:t>
      </w:r>
      <w:r>
        <w:t xml:space="preserve">subsumed by the fire that triggers it.</w:t>
      </w:r>
    </w:p>
    <w:p>
      <w:pPr>
        <w:pStyle w:val="BodyText"/>
      </w:pPr>
      <w:r>
        <w:t xml:space="preserve">In fire-dominated scenarios, the risk coefficient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matters more than replanning frequency; in traffic-heavy</w:t>
      </w:r>
      <w:r>
        <w:t xml:space="preserve"> </w:t>
      </w:r>
      <w:r>
        <w:t xml:space="preserve">environments, any adaptive planner suffices.</w:t>
      </w:r>
    </w:p>
    <w:bookmarkEnd w:id="58"/>
    <w:bookmarkStart w:id="59" w:name="sec:knob"/>
    <w:p>
      <w:pPr>
        <w:pStyle w:val="Heading2"/>
      </w:pPr>
      <m:oMath>
        <m:r>
          <m:t>ρ</m:t>
        </m:r>
      </m:oMath>
      <w:r>
        <w:t xml:space="preserve"> </w:t>
      </w:r>
      <w:r>
        <w:t xml:space="preserve">as a Deployment Knob</w:t>
      </w:r>
    </w:p>
    <w:p>
      <w:pPr>
        <w:pStyle w:val="FirstParagraph"/>
      </w:pPr>
      <w:r>
        <w:t xml:space="preserve">The ranking inversion establishes that no universal</w:t>
      </w:r>
      <w:r>
        <w:t xml:space="preserve"> </w:t>
      </w:r>
      <w:r>
        <w:t xml:space="preserve">“best planner”</w:t>
      </w:r>
      <w:r>
        <w:t xml:space="preserve"> </w:t>
      </w:r>
      <w:r>
        <w:t xml:space="preserve">exists. Instead,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provides a principled deployment knob: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Rescue / medication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0.5</m:t>
        </m:r>
      </m:oMath>
      <w:r>
        <w:t xml:space="preserve">. Minimise 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maximise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accept higher collision probability.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Surveillance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5.0</m:t>
        </m:r>
      </m:oMath>
      <w:r>
        <w:t xml:space="preserve">. Late data retains value;</w:t>
      </w:r>
      <w:r>
        <w:t xml:space="preserve"> </w:t>
      </w:r>
      <w:r>
        <w:t xml:space="preserve">collision yields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This reframes planner selection from</w:t>
      </w:r>
      <w:r>
        <w:t xml:space="preserve"> </w:t>
      </w:r>
      <w:r>
        <w:t xml:space="preserve">“which algorithm wins?”</w:t>
      </w:r>
      <w:r>
        <w:t xml:space="preserve"> </w:t>
      </w:r>
      <w:r>
        <w:t xml:space="preserve">to</w:t>
      </w:r>
      <w:r>
        <w:t xml:space="preserve"> </w:t>
      </w:r>
      <w:r>
        <w:t xml:space="preserve">“what</w:t>
      </w:r>
      <w:r>
        <w:t xml:space="preserve"> </w:t>
      </w:r>
      <w:r>
        <w:t xml:space="preserve">risk level does this mission warrant?”</w:t>
      </w:r>
      <w:r>
        <w:t xml:space="preserve">—a question FLARE makes</w:t>
      </w:r>
      <w:r>
        <w:t xml:space="preserve"> </w:t>
      </w:r>
      <w:r>
        <w:t xml:space="preserve">empirically answerable.</w:t>
      </w:r>
    </w:p>
    <w:bookmarkEnd w:id="59"/>
    <w:bookmarkStart w:id="60" w:name="sec: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FLARE uses 2D grids without altitude or aerodynamics. The planners are</w:t>
      </w:r>
      <w:r>
        <w:t xml:space="preserve"> </w:t>
      </w:r>
      <w:r>
        <w:t xml:space="preserve">classical; the CA fire model is approximate. Three Athens scenarios provide</w:t>
      </w:r>
      <w:r>
        <w:t xml:space="preserve"> </w:t>
      </w:r>
      <w:r>
        <w:t xml:space="preserve">focused but not exhaustive coverage. Risk coefficients are fixed, not</w:t>
      </w:r>
      <w:r>
        <w:t xml:space="preserve"> </w:t>
      </w:r>
      <w:r>
        <w:t xml:space="preserve">adapted online. The inversion is not obvious</w:t>
      </w:r>
      <w:r>
        <w:t xml:space="preserve"> </w:t>
      </w:r>
      <w:r>
        <w:rPr>
          <w:i/>
          <w:iCs/>
        </w:rPr>
        <w:t xml:space="preserve">a priori</w:t>
      </w:r>
      <w:r>
        <w:t xml:space="preserve">: no prior benchmark includes</w:t>
      </w:r>
      <w:r>
        <w:t xml:space="preserve"> </w:t>
      </w:r>
      <w:r>
        <w:t xml:space="preserve">time-coupled scoring, 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Rank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predictable</w:t>
      </w:r>
      <w:r>
        <w:t xml:space="preserve"> </w:t>
      </w:r>
      <w:r>
        <w:t xml:space="preserve">without experiments. Nor is it parameter tuning: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a structural</w:t>
      </w:r>
      <w:r>
        <w:t xml:space="preserve"> </w:t>
      </w:r>
      <w:r>
        <w:t xml:space="preserve">property of each planner’s cost function. The inversion persists across all</w:t>
      </w:r>
      <w:r>
        <w:t xml:space="preserve"> </w:t>
      </w:r>
      <w:r>
        <w:t xml:space="preserve">three geographically distinct scenarios. These simplifications are deliberate:</w:t>
      </w:r>
      <w:r>
        <w:t xml:space="preserve"> </w:t>
      </w:r>
      <w:r>
        <w:t xml:space="preserve">the contribution is the</w:t>
      </w:r>
      <w:r>
        <w:t xml:space="preserve"> </w:t>
      </w:r>
      <w:r>
        <w:rPr>
          <w:i/>
          <w:iCs/>
        </w:rPr>
        <w:t xml:space="preserve">evaluation paradigm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ranking-inversion finding</w:t>
      </w:r>
      <w:r>
        <w:t xml:space="preserve">, not the planners themselves.</w:t>
      </w:r>
    </w:p>
    <w:bookmarkEnd w:id="60"/>
    <w:bookmarkEnd w:id="61"/>
    <w:bookmarkStart w:id="106" w:name="sec: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We presented FLARE, a benchmark that answers a question conventional</w:t>
      </w:r>
      <w:r>
        <w:t xml:space="preserve"> </w:t>
      </w:r>
      <w:r>
        <w:t xml:space="preserve">evaluations cannot pose: does the best navigator also rescue most</w:t>
      </w:r>
      <w:r>
        <w:t xml:space="preserve"> </w:t>
      </w:r>
      <w:r>
        <w:t xml:space="preserve">effectively? Across 450 episodes on three Greek wildfire scenarios, the</w:t>
      </w:r>
      <w:r>
        <w:t xml:space="preserve"> </w:t>
      </w:r>
      <w:r>
        <w:t xml:space="preserve">answer is no. The planner with the highest survival probability ranks last in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 detours increase </w:t>
      </w:r>
      <m:oMath>
        <m:r>
          <m:t>t</m:t>
        </m:r>
      </m:oMath>
      <w:r>
        <w:t xml:space="preserve"> </w:t>
      </w:r>
      <w:r>
        <w:t xml:space="preserve">beyond the point where</w:t>
      </w:r>
      <w:r>
        <w:t xml:space="preserve"> </w:t>
      </w:r>
      <w:r>
        <w:t xml:space="preserve">delivery retains value. A risk-tolerant planner achieves the highest</w:t>
      </w:r>
      <w:r>
        <w:t xml:space="preserve"> </w:t>
      </w:r>
      <w:r>
        <w:t xml:space="preserve">mission score despite ranking third in navigation (Friedman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p>
      <w:pPr>
        <w:pStyle w:val="BodyText"/>
      </w:pPr>
      <w:r>
        <w:t xml:space="preserve">This finding—the ranking inversion—demonstrates that navigation success</w:t>
      </w:r>
      <w:r>
        <w:t xml:space="preserve"> </w:t>
      </w:r>
      <w:r>
        <w:t xml:space="preserve">rate is not merely incomplete but actively misleading for time-critical</w:t>
      </w:r>
      <w:r>
        <w:t xml:space="preserve"> </w:t>
      </w:r>
      <w:r>
        <w:t xml:space="preserve">operations: it rewards the wrong planner. The implication is a paradigm shift: from</w:t>
      </w:r>
      <w:r>
        <w:t xml:space="preserve"> </w:t>
      </w:r>
      <w:r>
        <w:t xml:space="preserve">evaluating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planners succeed to evaluating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deliver. The risk coefficient provides the deployment knob; FLARE provides</w:t>
      </w:r>
      <w:r>
        <w:t xml:space="preserve"> </w:t>
      </w:r>
      <w:r>
        <w:t xml:space="preserve">the evaluation platform. Both are open-source.</w:t>
      </w:r>
    </w:p>
    <w:p>
      <w:pPr>
        <w:pStyle w:val="BodyText"/>
      </w:pPr>
      <w:r>
        <w:t xml:space="preserve">Code and data:</w:t>
      </w:r>
      <w:r>
        <w:t xml:space="preserve"> </w:t>
      </w:r>
      <w:hyperlink r:id="rId62">
        <w:r>
          <w:rPr>
            <w:rStyle w:val="Hyperlink"/>
          </w:rPr>
          <w:t xml:space="preserve">https://github.com/zervakisai/uavplan</w:t>
        </w:r>
      </w:hyperlink>
      <w:r>
        <w:t xml:space="preserve">.</w:t>
      </w:r>
    </w:p>
    <w:p>
      <w:pPr>
        <w:pStyle w:val="BodyText"/>
      </w:pPr>
      <w:r>
        <w:t xml:space="preserve">-</w:t>
      </w:r>
      <w:r>
        <w:t xml:space="preserve">0cm</w:t>
      </w:r>
    </w:p>
    <w:bookmarkStart w:id="105" w:name="refs"/>
    <w:bookmarkStart w:id="63" w:name="ref-Agarwal2021"/>
    <w:p>
      <w:pPr>
        <w:pStyle w:val="Bibliography"/>
      </w:pPr>
      <w:r>
        <w:t xml:space="preserve">Agarwal, Rishabh, Max Schwarzer, Pablo Samuel Castro, Aaron Courville, and Marc G. Bellemare. 2021.</w:t>
      </w:r>
      <w:r>
        <w:t xml:space="preserve"> </w:t>
      </w:r>
      <w:r>
        <w:t xml:space="preserve">“Deep Reinforcement Learning at the Edge of the Statistical Precipice.”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34.</w:t>
      </w:r>
    </w:p>
    <w:bookmarkEnd w:id="63"/>
    <w:bookmarkStart w:id="65" w:name="ref-Aggarwal2020"/>
    <w:p>
      <w:pPr>
        <w:pStyle w:val="Bibliography"/>
      </w:pPr>
      <w:r>
        <w:t xml:space="preserve">Aggarwal, Shubhani, and Neeraj Kumar. 2020.</w:t>
      </w:r>
      <w:r>
        <w:t xml:space="preserve"> </w:t>
      </w:r>
      <w:r>
        <w:t xml:space="preserve">“Path Planning Techniques for Unmanned Aerial Vehicles: A Review, Solutions, and Challenges.”</w:t>
      </w:r>
      <w:r>
        <w:t xml:space="preserve"> </w:t>
      </w:r>
      <w:r>
        <w:rPr>
          <w:i/>
          <w:iCs/>
        </w:rPr>
        <w:t xml:space="preserve">Computer Communications</w:t>
      </w:r>
      <w:r>
        <w:t xml:space="preserve"> </w:t>
      </w:r>
      <w:r>
        <w:t xml:space="preserve">149: 270–99.</w:t>
      </w:r>
      <w:r>
        <w:t xml:space="preserve"> </w:t>
      </w:r>
      <w:hyperlink r:id="rId64">
        <w:r>
          <w:rPr>
            <w:rStyle w:val="Hyperlink"/>
          </w:rPr>
          <w:t xml:space="preserve">https://doi.org/10.1016/j.comcom.2019.10.014</w:t>
        </w:r>
      </w:hyperlink>
      <w:r>
        <w:t xml:space="preserve">.</w:t>
      </w:r>
    </w:p>
    <w:bookmarkEnd w:id="65"/>
    <w:bookmarkStart w:id="67" w:name="ref-Alexandridis2008"/>
    <w:p>
      <w:pPr>
        <w:pStyle w:val="Bibliography"/>
      </w:pPr>
      <w:r>
        <w:t xml:space="preserve">Alexandridis, A., D. Vakalis, C. I. Siettos, and G. V. Bafas. 2008.</w:t>
      </w:r>
      <w:r>
        <w:t xml:space="preserve"> </w:t>
      </w:r>
      <w:r>
        <w:t xml:space="preserve">“A Cellular Automata Model for Forest Fire Spread Prediction: The Case of the Wildfire That Swept Through</w:t>
      </w:r>
      <w:r>
        <w:t xml:space="preserve"> </w:t>
      </w:r>
      <w:r>
        <w:t xml:space="preserve">Spetses</w:t>
      </w:r>
      <w:r>
        <w:t xml:space="preserve"> </w:t>
      </w:r>
      <w:r>
        <w:t xml:space="preserve">Island in 1990.”</w:t>
      </w:r>
      <w:r>
        <w:t xml:space="preserve"> </w:t>
      </w:r>
      <w:r>
        <w:rPr>
          <w:i/>
          <w:iCs/>
        </w:rPr>
        <w:t xml:space="preserve">Applied Mathematics and Computation</w:t>
      </w:r>
      <w:r>
        <w:t xml:space="preserve"> </w:t>
      </w:r>
      <w:r>
        <w:t xml:space="preserve">204 (1): 191–201.</w:t>
      </w:r>
      <w:r>
        <w:t xml:space="preserve"> </w:t>
      </w:r>
      <w:hyperlink r:id="rId66">
        <w:r>
          <w:rPr>
            <w:rStyle w:val="Hyperlink"/>
          </w:rPr>
          <w:t xml:space="preserve">https://doi.org/10.1016/j.amc.2008.06.046</w:t>
        </w:r>
      </w:hyperlink>
      <w:r>
        <w:t xml:space="preserve">.</w:t>
      </w:r>
    </w:p>
    <w:bookmarkEnd w:id="67"/>
    <w:bookmarkStart w:id="69" w:name="ref-Boeing2017"/>
    <w:p>
      <w:pPr>
        <w:pStyle w:val="Bibliography"/>
      </w:pPr>
      <w:r>
        <w:t xml:space="preserve">Boeing, Geoff. 2017.</w:t>
      </w:r>
      <w:r>
        <w:t xml:space="preserve"> </w:t>
      </w:r>
      <w:r>
        <w:t xml:space="preserve">“</w:t>
      </w:r>
      <w:r>
        <w:t xml:space="preserve">OSMnx</w:t>
      </w:r>
      <w:r>
        <w:t xml:space="preserve">: New Methods for Acquiring, Constructing, Analyzing, and Visualizing Complex Street Networks.”</w:t>
      </w:r>
      <w:r>
        <w:t xml:space="preserve"> </w:t>
      </w:r>
      <w:r>
        <w:rPr>
          <w:i/>
          <w:iCs/>
        </w:rPr>
        <w:t xml:space="preserve">Computers, Environment and Urban Systems</w:t>
      </w:r>
      <w:r>
        <w:t xml:space="preserve"> </w:t>
      </w:r>
      <w:r>
        <w:t xml:space="preserve">65: 126–39.</w:t>
      </w:r>
      <w:r>
        <w:t xml:space="preserve"> </w:t>
      </w:r>
      <w:hyperlink r:id="rId68">
        <w:r>
          <w:rPr>
            <w:rStyle w:val="Hyperlink"/>
          </w:rPr>
          <w:t xml:space="preserve">https://doi.org/10.1016/j.compenvurbsys.2017.05.004</w:t>
        </w:r>
      </w:hyperlink>
      <w:r>
        <w:t xml:space="preserve">.</w:t>
      </w:r>
    </w:p>
    <w:bookmarkEnd w:id="69"/>
    <w:bookmarkStart w:id="71" w:name="ref-Bonsignorio2025"/>
    <w:p>
      <w:pPr>
        <w:pStyle w:val="Bibliography"/>
      </w:pPr>
      <w:r>
        <w:t xml:space="preserve">Bonsignorio, Fabio, Angel P. del Pobil, and Enrica Zereik. 2025.</w:t>
      </w:r>
      <w:r>
        <w:t xml:space="preserve"> </w:t>
      </w:r>
      <w:r>
        <w:t xml:space="preserve">“Towards Reproducible Robotics Research.”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t xml:space="preserve">7 (1): 15–22.</w:t>
      </w:r>
      <w:r>
        <w:t xml:space="preserve"> </w:t>
      </w:r>
      <w:hyperlink r:id="rId70">
        <w:r>
          <w:rPr>
            <w:rStyle w:val="Hyperlink"/>
          </w:rPr>
          <w:t xml:space="preserve">https://doi.org/10.1038/s42256-025-01114-7</w:t>
        </w:r>
      </w:hyperlink>
      <w:r>
        <w:t xml:space="preserve">.</w:t>
      </w:r>
    </w:p>
    <w:bookmarkEnd w:id="71"/>
    <w:bookmarkStart w:id="73" w:name="ref-copernicus_emsn166"/>
    <w:p>
      <w:pPr>
        <w:pStyle w:val="Bibliography"/>
      </w:pPr>
      <w:r>
        <w:t xml:space="preserve">Copernicus Emergency Management Service. 2023.</w:t>
      </w:r>
      <w:r>
        <w:t xml:space="preserve"> </w:t>
      </w:r>
      <w:r>
        <w:rPr>
          <w:i/>
          <w:iCs/>
        </w:rPr>
        <w:t xml:space="preserve">Copernicus EMS Risk and Recovery Activation EMSN166</w:t>
      </w:r>
      <w:r>
        <w:rPr>
          <w:i/>
          <w:iCs/>
        </w:rPr>
        <w:t xml:space="preserve">: Wildfire in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vros,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rPr>
          <w:i/>
          <w:iCs/>
        </w:rPr>
        <w:t xml:space="preserve">reece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https://mapping.emergency.copernicus.eu/activations/EMSN166/</w:t>
        </w:r>
      </w:hyperlink>
      <w:r>
        <w:t xml:space="preserve">.</w:t>
      </w:r>
    </w:p>
    <w:bookmarkEnd w:id="73"/>
    <w:bookmarkStart w:id="74" w:name="ref-Demsar2006"/>
    <w:p>
      <w:pPr>
        <w:pStyle w:val="Bibliography"/>
      </w:pPr>
      <w:r>
        <w:t xml:space="preserve">Demšar, Janez. 2006.</w:t>
      </w:r>
      <w:r>
        <w:t xml:space="preserve"> </w:t>
      </w:r>
      <w:r>
        <w:t xml:space="preserve">“Statistical Comparisons of Classifiers over Multiple Data Sets.”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7: 1–30.</w:t>
      </w:r>
    </w:p>
    <w:bookmarkEnd w:id="74"/>
    <w:bookmarkStart w:id="76" w:name="ref-Dolan2002"/>
    <w:p>
      <w:pPr>
        <w:pStyle w:val="Bibliography"/>
      </w:pPr>
      <w:r>
        <w:t xml:space="preserve">Dolan, Elizabeth D., and Jorge J. Moré. 2002.</w:t>
      </w:r>
      <w:r>
        <w:t xml:space="preserve"> </w:t>
      </w:r>
      <w:r>
        <w:t xml:space="preserve">“Benchmarking Optimization Software with Performance Profiles.”</w:t>
      </w:r>
      <w:r>
        <w:t xml:space="preserve"> </w:t>
      </w:r>
      <w:r>
        <w:rPr>
          <w:i/>
          <w:iCs/>
        </w:rPr>
        <w:t xml:space="preserve">Mathematical Programming</w:t>
      </w:r>
      <w:r>
        <w:t xml:space="preserve"> </w:t>
      </w:r>
      <w:r>
        <w:t xml:space="preserve">91 (2): 201–13.</w:t>
      </w:r>
      <w:r>
        <w:t xml:space="preserve"> </w:t>
      </w:r>
      <w:hyperlink r:id="rId75">
        <w:r>
          <w:rPr>
            <w:rStyle w:val="Hyperlink"/>
          </w:rPr>
          <w:t xml:space="preserve">https://doi.org/10.1007/s101070100263</w:t>
        </w:r>
      </w:hyperlink>
      <w:r>
        <w:t xml:space="preserve">.</w:t>
      </w:r>
    </w:p>
    <w:bookmarkEnd w:id="76"/>
    <w:bookmarkStart w:id="78" w:name="ref-Dradoum2025"/>
    <w:p>
      <w:pPr>
        <w:pStyle w:val="Bibliography"/>
      </w:pPr>
      <w:r>
        <w:t xml:space="preserve">Dradoum, Alaa, Abdelmadjid Khelassi, and Fadhila Lachekhab. 2025.</w:t>
      </w:r>
      <w:r>
        <w:t xml:space="preserve"> </w:t>
      </w:r>
      <w:r>
        <w:t xml:space="preserve">“Intelligent Path Planning Algorithms for</w:t>
      </w:r>
      <w:r>
        <w:t xml:space="preserve"> </w:t>
      </w:r>
      <w:r>
        <w:t xml:space="preserve">UAVs</w:t>
      </w:r>
      <w:r>
        <w:t xml:space="preserve">: Classification, Complexity Analysis, Hybrid Ablation Insights, and Future Directions.”</w:t>
      </w:r>
      <w:r>
        <w:t xml:space="preserve"> </w:t>
      </w:r>
      <w:r>
        <w:rPr>
          <w:i/>
          <w:iCs/>
        </w:rPr>
        <w:t xml:space="preserve">Advances in Mechanical Engineering</w:t>
      </w:r>
      <w:r>
        <w:t xml:space="preserve"> </w:t>
      </w:r>
      <w:r>
        <w:t xml:space="preserve">17 (7).</w:t>
      </w:r>
      <w:r>
        <w:t xml:space="preserve"> </w:t>
      </w:r>
      <w:hyperlink r:id="rId77">
        <w:r>
          <w:rPr>
            <w:rStyle w:val="Hyperlink"/>
          </w:rPr>
          <w:t xml:space="preserve">https://doi.org/10.1177/16878132251355020</w:t>
        </w:r>
      </w:hyperlink>
      <w:r>
        <w:t xml:space="preserve">.</w:t>
      </w:r>
    </w:p>
    <w:bookmarkEnd w:id="78"/>
    <w:bookmarkStart w:id="80" w:name="ref-Erdelj2017"/>
    <w:p>
      <w:pPr>
        <w:pStyle w:val="Bibliography"/>
      </w:pPr>
      <w:r>
        <w:t xml:space="preserve">Erdelj, Milan, Enrico Natalizio, Kaushik R. Chowdhury, and Ian F. Akyildiz. 2017.</w:t>
      </w:r>
      <w:r>
        <w:t xml:space="preserve"> </w:t>
      </w:r>
      <w:r>
        <w:t xml:space="preserve">“Help from the Sky: Leveraging</w:t>
      </w:r>
      <w:r>
        <w:t xml:space="preserve"> </w:t>
      </w:r>
      <w:r>
        <w:t xml:space="preserve">UAVs</w:t>
      </w:r>
      <w:r>
        <w:t xml:space="preserve"> </w:t>
      </w:r>
      <w:r>
        <w:t xml:space="preserve">for Disaster Management.”</w:t>
      </w:r>
      <w:r>
        <w:t xml:space="preserve"> </w:t>
      </w:r>
      <w:r>
        <w:rPr>
          <w:i/>
          <w:iCs/>
        </w:rPr>
        <w:t xml:space="preserve">IEEE Pervasive Computing</w:t>
      </w:r>
      <w:r>
        <w:t xml:space="preserve"> </w:t>
      </w:r>
      <w:r>
        <w:t xml:space="preserve">16 (1): 24–32.</w:t>
      </w:r>
      <w:r>
        <w:t xml:space="preserve"> </w:t>
      </w:r>
      <w:hyperlink r:id="rId79">
        <w:r>
          <w:rPr>
            <w:rStyle w:val="Hyperlink"/>
          </w:rPr>
          <w:t xml:space="preserve">https://doi.org/10.1109/MPRV.2017.11</w:t>
        </w:r>
      </w:hyperlink>
      <w:r>
        <w:t xml:space="preserve">.</w:t>
      </w:r>
    </w:p>
    <w:bookmarkEnd w:id="80"/>
    <w:bookmarkStart w:id="82" w:name="ref-Giannino2025"/>
    <w:p>
      <w:pPr>
        <w:pStyle w:val="Bibliography"/>
      </w:pPr>
      <w:r>
        <w:t xml:space="preserve">Giannino, Francesco et al.</w:t>
      </w:r>
      <w:r>
        <w:t xml:space="preserve"> 2025.</w:t>
      </w:r>
      <w:r>
        <w:t xml:space="preserve"> </w:t>
      </w:r>
      <w:r>
        <w:t xml:space="preserve">“Statistical Dynamics of Wildfire Burned Area from Cellular-Automata Simulators.”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15 (1): 2025.</w:t>
      </w:r>
      <w:r>
        <w:t xml:space="preserve"> </w:t>
      </w:r>
      <w:hyperlink r:id="rId81">
        <w:r>
          <w:rPr>
            <w:rStyle w:val="Hyperlink"/>
          </w:rPr>
          <w:t xml:space="preserve">https://doi.org/10.1038/s41598-025-30851-3</w:t>
        </w:r>
      </w:hyperlink>
      <w:r>
        <w:t xml:space="preserve">.</w:t>
      </w:r>
    </w:p>
    <w:bookmarkEnd w:id="82"/>
    <w:bookmarkStart w:id="84" w:name="ref-Hart1968"/>
    <w:p>
      <w:pPr>
        <w:pStyle w:val="Bibliography"/>
      </w:pPr>
      <w:r>
        <w:t xml:space="preserve">Hart, Peter E., Nils J. Nilsson, and Bertram Raphael. 1968.</w:t>
      </w:r>
      <w:r>
        <w:t xml:space="preserve"> </w:t>
      </w:r>
      <w:r>
        <w:t xml:space="preserve">“A Formal Basis for the Heuristic Determination of Minimum Cost Paths.”</w:t>
      </w:r>
      <w:r>
        <w:t xml:space="preserve"> </w:t>
      </w:r>
      <w:r>
        <w:rPr>
          <w:i/>
          <w:iCs/>
        </w:rPr>
        <w:t xml:space="preserve">IEEE Transactions on Systems Science and Cybernetics</w:t>
      </w:r>
      <w:r>
        <w:t xml:space="preserve"> </w:t>
      </w:r>
      <w:r>
        <w:t xml:space="preserve">4 (2): 100–107.</w:t>
      </w:r>
      <w:r>
        <w:t xml:space="preserve"> </w:t>
      </w:r>
      <w:hyperlink r:id="rId83">
        <w:r>
          <w:rPr>
            <w:rStyle w:val="Hyperlink"/>
          </w:rPr>
          <w:t xml:space="preserve">https://doi.org/10.1109/TSSC.1968.300136</w:t>
        </w:r>
      </w:hyperlink>
      <w:r>
        <w:t xml:space="preserve">.</w:t>
      </w:r>
    </w:p>
    <w:bookmarkEnd w:id="84"/>
    <w:bookmarkStart w:id="85" w:name="ref-Henderson2018"/>
    <w:p>
      <w:pPr>
        <w:pStyle w:val="Bibliography"/>
      </w:pPr>
      <w:r>
        <w:t xml:space="preserve">Henderson, Peter, Riashat Islam, Philip Bachman, Joelle Pineau, Doina Precup, and David Meger. 2018.</w:t>
      </w:r>
      <w:r>
        <w:t xml:space="preserve"> </w:t>
      </w:r>
      <w:r>
        <w:t xml:space="preserve">“Deep Reinforcement Learning That Matters.”</w:t>
      </w:r>
      <w:r>
        <w:t xml:space="preserve"> </w:t>
      </w:r>
      <w:r>
        <w:rPr>
          <w:i/>
          <w:iCs/>
        </w:rPr>
        <w:t xml:space="preserve">Proceedings of the 32nd AAAI Conference on Artificial Intelligence</w:t>
      </w:r>
      <w:r>
        <w:t xml:space="preserve">.</w:t>
      </w:r>
    </w:p>
    <w:bookmarkEnd w:id="85"/>
    <w:bookmarkStart w:id="87" w:name="ref-Khatib1986"/>
    <w:p>
      <w:pPr>
        <w:pStyle w:val="Bibliography"/>
      </w:pPr>
      <w:r>
        <w:t xml:space="preserve">Khatib, Oussama. 1986.</w:t>
      </w:r>
      <w:r>
        <w:t xml:space="preserve"> </w:t>
      </w:r>
      <w:r>
        <w:t xml:space="preserve">“Real-Time Obstacle Avoidance for Manipulators and Mobile Robots.”</w:t>
      </w:r>
      <w:r>
        <w:t xml:space="preserve"> </w:t>
      </w:r>
      <w:r>
        <w:rPr>
          <w:i/>
          <w:iCs/>
        </w:rPr>
        <w:t xml:space="preserve">The International Journal of Robotics Research</w:t>
      </w:r>
      <w:r>
        <w:t xml:space="preserve"> </w:t>
      </w:r>
      <w:r>
        <w:t xml:space="preserve">5 (1): 90–98.</w:t>
      </w:r>
      <w:r>
        <w:t xml:space="preserve"> </w:t>
      </w:r>
      <w:hyperlink r:id="rId86">
        <w:r>
          <w:rPr>
            <w:rStyle w:val="Hyperlink"/>
          </w:rPr>
          <w:t xml:space="preserve">https://doi.org/10.1177/027836498600500106</w:t>
        </w:r>
      </w:hyperlink>
      <w:r>
        <w:t xml:space="preserve">.</w:t>
      </w:r>
    </w:p>
    <w:bookmarkEnd w:id="87"/>
    <w:bookmarkStart w:id="88" w:name="ref-Koenig2002"/>
    <w:p>
      <w:pPr>
        <w:pStyle w:val="Bibliography"/>
      </w:pPr>
      <w:r>
        <w:t xml:space="preserve">Koenig, Sven, and Maxim Likhachev. 2002.</w:t>
      </w:r>
      <w:r>
        <w:t xml:space="preserve"> </w:t>
      </w:r>
      <w:r>
        <w:t xml:space="preserve">“</w:t>
      </w:r>
      <w:r>
        <w:t xml:space="preserve">D* Lite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18th AAAI Conference on Artificial Intelligence</w:t>
      </w:r>
      <w:r>
        <w:t xml:space="preserve">, 476–83.</w:t>
      </w:r>
    </w:p>
    <w:bookmarkEnd w:id="88"/>
    <w:bookmarkStart w:id="90" w:name="ref-Melissaris2025"/>
    <w:p>
      <w:pPr>
        <w:pStyle w:val="Bibliography"/>
      </w:pPr>
      <w:r>
        <w:t xml:space="preserve">Melissaris, Charalampos et al.</w:t>
      </w:r>
      <w:r>
        <w:t xml:space="preserve"> 2025.</w:t>
      </w:r>
      <w:r>
        <w:t xml:space="preserve"> </w:t>
      </w:r>
      <w:r>
        <w:t xml:space="preserve">“Risk-Aware</w:t>
      </w:r>
      <w:r>
        <w:t xml:space="preserve"> </w:t>
      </w:r>
      <w:r>
        <w:t xml:space="preserve">UAV</w:t>
      </w:r>
      <w:r>
        <w:t xml:space="preserve"> </w:t>
      </w:r>
      <w:r>
        <w:t xml:space="preserve">Trajectory Optimization Using Open Urban</w:t>
      </w:r>
      <w:r>
        <w:t xml:space="preserve"> </w:t>
      </w:r>
      <w:r>
        <w:t xml:space="preserve">GIS</w:t>
      </w:r>
      <w:r>
        <w:t xml:space="preserve"> </w:t>
      </w:r>
      <w:r>
        <w:t xml:space="preserve">Data and Target Level of Safety Constraints.”</w:t>
      </w:r>
      <w:r>
        <w:t xml:space="preserve"> </w:t>
      </w:r>
      <w:r>
        <w:rPr>
          <w:i/>
          <w:iCs/>
        </w:rPr>
        <w:t xml:space="preserve">Drones</w:t>
      </w:r>
      <w:r>
        <w:t xml:space="preserve"> </w:t>
      </w:r>
      <w:r>
        <w:t xml:space="preserve">9 (10): 666.</w:t>
      </w:r>
      <w:r>
        <w:t xml:space="preserve"> </w:t>
      </w:r>
      <w:hyperlink r:id="rId89">
        <w:r>
          <w:rPr>
            <w:rStyle w:val="Hyperlink"/>
          </w:rPr>
          <w:t xml:space="preserve">https://doi.org/10.3390/drones9100666</w:t>
        </w:r>
      </w:hyperlink>
      <w:r>
        <w:t xml:space="preserve">.</w:t>
      </w:r>
    </w:p>
    <w:bookmarkEnd w:id="90"/>
    <w:bookmarkStart w:id="92" w:name="ref-Meng2025"/>
    <w:p>
      <w:pPr>
        <w:pStyle w:val="Bibliography"/>
      </w:pPr>
      <w:r>
        <w:t xml:space="preserve">Meng, Wenlong, Xuegang Zhang, Lvzhuoyu Zhou, Hangyu Guo, and Xin Hu. 2025.</w:t>
      </w:r>
      <w:r>
        <w:t xml:space="preserve"> </w:t>
      </w:r>
      <w:r>
        <w:t xml:space="preserve">“Advances in</w:t>
      </w:r>
      <w:r>
        <w:t xml:space="preserve"> </w:t>
      </w:r>
      <w:r>
        <w:t xml:space="preserve">UAV</w:t>
      </w:r>
      <w:r>
        <w:t xml:space="preserve"> </w:t>
      </w:r>
      <w:r>
        <w:t xml:space="preserve">Path Planning: A Comprehensive Review of Methods, Challenges, and Future Directions.”</w:t>
      </w:r>
      <w:r>
        <w:t xml:space="preserve"> </w:t>
      </w:r>
      <w:r>
        <w:rPr>
          <w:i/>
          <w:iCs/>
        </w:rPr>
        <w:t xml:space="preserve">Drones</w:t>
      </w:r>
      <w:r>
        <w:t xml:space="preserve"> </w:t>
      </w:r>
      <w:r>
        <w:t xml:space="preserve">9 (5): 376.</w:t>
      </w:r>
      <w:r>
        <w:t xml:space="preserve"> </w:t>
      </w:r>
      <w:hyperlink r:id="rId91">
        <w:r>
          <w:rPr>
            <w:rStyle w:val="Hyperlink"/>
          </w:rPr>
          <w:t xml:space="preserve">https://doi.org/10.3390/drones9050376</w:t>
        </w:r>
      </w:hyperlink>
      <w:r>
        <w:t xml:space="preserve">.</w:t>
      </w:r>
    </w:p>
    <w:bookmarkEnd w:id="92"/>
    <w:bookmarkStart w:id="94" w:name="ref-Rahim2025"/>
    <w:p>
      <w:pPr>
        <w:pStyle w:val="Bibliography"/>
      </w:pPr>
      <w:r>
        <w:t xml:space="preserve">Rahim, Fakher, and Nameer Hashim Qasim. 2025.</w:t>
      </w:r>
      <w:r>
        <w:t xml:space="preserve"> </w:t>
      </w:r>
      <w:r>
        <w:t xml:space="preserve">“A Systematic Literature Review of Drones in Emergency Medicine: Practical Applications, Legal Challenges, and Future Directions.”</w:t>
      </w:r>
      <w:r>
        <w:t xml:space="preserve"> </w:t>
      </w:r>
      <w:r>
        <w:rPr>
          <w:i/>
          <w:iCs/>
        </w:rPr>
        <w:t xml:space="preserve">Drone Systems and Applications</w:t>
      </w:r>
      <w:r>
        <w:t xml:space="preserve"> </w:t>
      </w:r>
      <w:r>
        <w:t xml:space="preserve">13 (1): 1–13.</w:t>
      </w:r>
      <w:r>
        <w:t xml:space="preserve"> </w:t>
      </w:r>
      <w:hyperlink r:id="rId93">
        <w:r>
          <w:rPr>
            <w:rStyle w:val="Hyperlink"/>
          </w:rPr>
          <w:t xml:space="preserve">https://doi.org/10.1139/dsa-2024-0072</w:t>
        </w:r>
      </w:hyperlink>
      <w:r>
        <w:t xml:space="preserve">.</w:t>
      </w:r>
    </w:p>
    <w:bookmarkEnd w:id="94"/>
    <w:bookmarkStart w:id="96" w:name="ref-Sahila2025"/>
    <w:p>
      <w:pPr>
        <w:pStyle w:val="Bibliography"/>
      </w:pPr>
      <w:r>
        <w:t xml:space="preserve">Sahila, A., A. Fiorese, N. Perello, A. Trucchia, and G. Pagnini. 2025.</w:t>
      </w:r>
      <w:r>
        <w:t xml:space="preserve"> </w:t>
      </w:r>
      <w:r>
        <w:t xml:space="preserve">“Patterns of Burned Area by a Cellular-Automata Fire Simulator: The Role of Microscale Wind Field.”</w:t>
      </w:r>
      <w:r>
        <w:t xml:space="preserve"> </w:t>
      </w:r>
      <w:r>
        <w:rPr>
          <w:i/>
          <w:iCs/>
        </w:rPr>
        <w:t xml:space="preserve">Communications in Nonlinear Science and Numerical Simulation</w:t>
      </w:r>
      <w:r>
        <w:t xml:space="preserve"> </w:t>
      </w:r>
      <w:r>
        <w:t xml:space="preserve">151: 109026.</w:t>
      </w:r>
      <w:r>
        <w:t xml:space="preserve"> </w:t>
      </w:r>
      <w:hyperlink r:id="rId95">
        <w:r>
          <w:rPr>
            <w:rStyle w:val="Hyperlink"/>
          </w:rPr>
          <w:t xml:space="preserve">https://doi.org/10.1016/j.cnsns.2025.109026</w:t>
        </w:r>
      </w:hyperlink>
      <w:r>
        <w:t xml:space="preserve">.</w:t>
      </w:r>
    </w:p>
    <w:bookmarkEnd w:id="96"/>
    <w:bookmarkStart w:id="98" w:name="ref-effis2023"/>
    <w:p>
      <w:pPr>
        <w:pStyle w:val="Bibliography"/>
      </w:pPr>
      <w:r>
        <w:t xml:space="preserve">San-Miguel-Ayanz, Jesús et al.</w:t>
      </w:r>
      <w:r>
        <w:t xml:space="preserve"> 2024.</w:t>
      </w:r>
      <w:r>
        <w:t xml:space="preserve"> </w:t>
      </w:r>
      <w:r>
        <w:rPr>
          <w:i/>
          <w:iCs/>
        </w:rPr>
        <w:t xml:space="preserve">Forest Fires in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urope,</w:t>
      </w:r>
      <w:r>
        <w:rPr>
          <w:i/>
          <w:iCs/>
        </w:rPr>
        <w:t xml:space="preserve"> </w:t>
      </w:r>
      <w:r>
        <w:rPr>
          <w:i/>
          <w:iCs/>
        </w:rPr>
        <w:t xml:space="preserve">M</w:t>
      </w:r>
      <w:r>
        <w:rPr>
          <w:i/>
          <w:iCs/>
        </w:rPr>
        <w:t xml:space="preserve">iddle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ast and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orth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frica 2023</w:t>
      </w:r>
      <w:r>
        <w:t xml:space="preserve">. European Commission, Joint Research Centre.</w:t>
      </w:r>
      <w:r>
        <w:t xml:space="preserve"> </w:t>
      </w:r>
      <w:hyperlink r:id="rId97">
        <w:r>
          <w:rPr>
            <w:rStyle w:val="Hyperlink"/>
          </w:rPr>
          <w:t xml:space="preserve">https://doi.org/10.2760/108466</w:t>
        </w:r>
      </w:hyperlink>
      <w:r>
        <w:t xml:space="preserve">.</w:t>
      </w:r>
    </w:p>
    <w:bookmarkEnd w:id="98"/>
    <w:bookmarkStart w:id="99" w:name="ref-Shapley1953"/>
    <w:p>
      <w:pPr>
        <w:pStyle w:val="Bibliography"/>
      </w:pPr>
      <w:r>
        <w:t xml:space="preserve">Shapley, Lloyd S. 1953.</w:t>
      </w:r>
      <w:r>
        <w:t xml:space="preserve"> </w:t>
      </w:r>
      <w:r>
        <w:t xml:space="preserve">“A Value for n-Person Games.”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Contributions to the Theory of Games II</w:t>
      </w:r>
      <w:r>
        <w:t xml:space="preserve">, edited by H. W. Kuhn and A. W. Tucker. Princeton University Press.</w:t>
      </w:r>
    </w:p>
    <w:bookmarkEnd w:id="99"/>
    <w:bookmarkStart w:id="100" w:name="ref-Towers2025"/>
    <w:p>
      <w:pPr>
        <w:pStyle w:val="Bibliography"/>
      </w:pPr>
      <w:r>
        <w:t xml:space="preserve">Towers, Mark, Ariel Kwiatkowski, Jordan K. Terry, et al.</w:t>
      </w:r>
      <w:r>
        <w:t xml:space="preserve"> 2025.</w:t>
      </w:r>
      <w:r>
        <w:t xml:space="preserve"> </w:t>
      </w:r>
      <w:r>
        <w:t xml:space="preserve">“Gymnasium: A Standard Interface for Reinforcement Learning Environments.”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38.</w:t>
      </w:r>
    </w:p>
    <w:bookmarkEnd w:id="100"/>
    <w:bookmarkStart w:id="102" w:name="ref-Zhao2020"/>
    <w:p>
      <w:pPr>
        <w:pStyle w:val="Bibliography"/>
      </w:pPr>
      <w:r>
        <w:t xml:space="preserve">Zhao, Yijing, Zheng Zheng, and Yang Liu. 2018.</w:t>
      </w:r>
      <w:r>
        <w:t xml:space="preserve"> </w:t>
      </w:r>
      <w:r>
        <w:t xml:space="preserve">“Survey on Computational-Intelligence-Based</w:t>
      </w:r>
      <w:r>
        <w:t xml:space="preserve"> </w:t>
      </w:r>
      <w:r>
        <w:t xml:space="preserve">UAV</w:t>
      </w:r>
      <w:r>
        <w:t xml:space="preserve"> </w:t>
      </w:r>
      <w:r>
        <w:t xml:space="preserve">Path Planning.”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 </w:t>
      </w:r>
      <w:r>
        <w:t xml:space="preserve">158: 54–64.</w:t>
      </w:r>
      <w:r>
        <w:t xml:space="preserve"> </w:t>
      </w:r>
      <w:hyperlink r:id="rId101">
        <w:r>
          <w:rPr>
            <w:rStyle w:val="Hyperlink"/>
          </w:rPr>
          <w:t xml:space="preserve">https://doi.org/10.1016/j.knosys.2018.05.033</w:t>
        </w:r>
      </w:hyperlink>
      <w:r>
        <w:t xml:space="preserve">.</w:t>
      </w:r>
    </w:p>
    <w:bookmarkEnd w:id="102"/>
    <w:bookmarkStart w:id="104" w:name="ref-Zhou2025"/>
    <w:p>
      <w:pPr>
        <w:pStyle w:val="Bibliography"/>
      </w:pPr>
      <w:r>
        <w:t xml:space="preserve">Zhou, Wei et al.</w:t>
      </w:r>
      <w:r>
        <w:t xml:space="preserve"> 2025.</w:t>
      </w:r>
      <w:r>
        <w:t xml:space="preserve"> </w:t>
      </w:r>
      <w:r>
        <w:t xml:space="preserve">“A Risk-Based Unmanned Aerial Vehicle Path Planning Scheme for Complex Air–Ground Environments.”</w:t>
      </w:r>
      <w:r>
        <w:t xml:space="preserve"> </w:t>
      </w:r>
      <w:r>
        <w:rPr>
          <w:i/>
          <w:iCs/>
        </w:rPr>
        <w:t xml:space="preserve">Risk Analysis</w:t>
      </w:r>
      <w:r>
        <w:t xml:space="preserve"> </w:t>
      </w:r>
      <w:r>
        <w:t xml:space="preserve">45 (2): 321–42.</w:t>
      </w:r>
      <w:r>
        <w:t xml:space="preserve"> </w:t>
      </w:r>
      <w:hyperlink r:id="rId103">
        <w:r>
          <w:rPr>
            <w:rStyle w:val="Hyperlink"/>
          </w:rPr>
          <w:t xml:space="preserve">https://doi.org/10.1111/risa.17685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df" /><Relationship Type="http://schemas.openxmlformats.org/officeDocument/2006/relationships/image" Id="rId44" Target="media/rId44.pdf" /><Relationship Type="http://schemas.openxmlformats.org/officeDocument/2006/relationships/image" Id="rId32" Target="media/rId32.pdf" /><Relationship Type="http://schemas.openxmlformats.org/officeDocument/2006/relationships/image" Id="rId25" Target="media/rId25.pdf" /><Relationship Type="http://schemas.openxmlformats.org/officeDocument/2006/relationships/image" Id="rId20" Target="media/rId20.pdf" /><Relationship Type="http://schemas.openxmlformats.org/officeDocument/2006/relationships/image" Id="rId49" Target="media/rId49.pdf" /><Relationship Type="http://schemas.openxmlformats.org/officeDocument/2006/relationships/image" Id="rId12" Target="media/rId12.pdf" /><Relationship Type="http://schemas.openxmlformats.org/officeDocument/2006/relationships/hyperlink" Id="rId75" Target="https://doi.org/10.1007/s101070100263" TargetMode="External" /><Relationship Type="http://schemas.openxmlformats.org/officeDocument/2006/relationships/hyperlink" Id="rId66" Target="https://doi.org/10.1016/j.amc.2008.06.046" TargetMode="External" /><Relationship Type="http://schemas.openxmlformats.org/officeDocument/2006/relationships/hyperlink" Id="rId95" Target="https://doi.org/10.1016/j.cnsns.2025.109026" TargetMode="External" /><Relationship Type="http://schemas.openxmlformats.org/officeDocument/2006/relationships/hyperlink" Id="rId64" Target="https://doi.org/10.1016/j.comcom.2019.10.014" TargetMode="External" /><Relationship Type="http://schemas.openxmlformats.org/officeDocument/2006/relationships/hyperlink" Id="rId68" Target="https://doi.org/10.1016/j.compenvurbsys.2017.05.004" TargetMode="External" /><Relationship Type="http://schemas.openxmlformats.org/officeDocument/2006/relationships/hyperlink" Id="rId101" Target="https://doi.org/10.1016/j.knosys.2018.05.033" TargetMode="External" /><Relationship Type="http://schemas.openxmlformats.org/officeDocument/2006/relationships/hyperlink" Id="rId81" Target="https://doi.org/10.1038/s41598-025-30851-3" TargetMode="External" /><Relationship Type="http://schemas.openxmlformats.org/officeDocument/2006/relationships/hyperlink" Id="rId70" Target="https://doi.org/10.1038/s42256-025-01114-7" TargetMode="External" /><Relationship Type="http://schemas.openxmlformats.org/officeDocument/2006/relationships/hyperlink" Id="rId79" Target="https://doi.org/10.1109/MPRV.2017.11" TargetMode="External" /><Relationship Type="http://schemas.openxmlformats.org/officeDocument/2006/relationships/hyperlink" Id="rId83" Target="https://doi.org/10.1109/TSSC.1968.300136" TargetMode="External" /><Relationship Type="http://schemas.openxmlformats.org/officeDocument/2006/relationships/hyperlink" Id="rId103" Target="https://doi.org/10.1111/risa.17685" TargetMode="External" /><Relationship Type="http://schemas.openxmlformats.org/officeDocument/2006/relationships/hyperlink" Id="rId93" Target="https://doi.org/10.1139/dsa-2024-0072" TargetMode="External" /><Relationship Type="http://schemas.openxmlformats.org/officeDocument/2006/relationships/hyperlink" Id="rId86" Target="https://doi.org/10.1177/027836498600500106" TargetMode="External" /><Relationship Type="http://schemas.openxmlformats.org/officeDocument/2006/relationships/hyperlink" Id="rId77" Target="https://doi.org/10.1177/16878132251355020" TargetMode="External" /><Relationship Type="http://schemas.openxmlformats.org/officeDocument/2006/relationships/hyperlink" Id="rId97" Target="https://doi.org/10.2760/108466" TargetMode="External" /><Relationship Type="http://schemas.openxmlformats.org/officeDocument/2006/relationships/hyperlink" Id="rId91" Target="https://doi.org/10.3390/drones9050376" TargetMode="External" /><Relationship Type="http://schemas.openxmlformats.org/officeDocument/2006/relationships/hyperlink" Id="rId89" Target="https://doi.org/10.3390/drones9100666" TargetMode="External" /><Relationship Type="http://schemas.openxmlformats.org/officeDocument/2006/relationships/hyperlink" Id="rId62" Target="https://github.com/zervakisai/uavplan" TargetMode="External" /><Relationship Type="http://schemas.openxmlformats.org/officeDocument/2006/relationships/hyperlink" Id="rId72" Target="https://mapping.emergency.copernicus.eu/activations/EMSN16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s101070100263" TargetMode="External" /><Relationship Type="http://schemas.openxmlformats.org/officeDocument/2006/relationships/hyperlink" Id="rId66" Target="https://doi.org/10.1016/j.amc.2008.06.046" TargetMode="External" /><Relationship Type="http://schemas.openxmlformats.org/officeDocument/2006/relationships/hyperlink" Id="rId95" Target="https://doi.org/10.1016/j.cnsns.2025.109026" TargetMode="External" /><Relationship Type="http://schemas.openxmlformats.org/officeDocument/2006/relationships/hyperlink" Id="rId64" Target="https://doi.org/10.1016/j.comcom.2019.10.014" TargetMode="External" /><Relationship Type="http://schemas.openxmlformats.org/officeDocument/2006/relationships/hyperlink" Id="rId68" Target="https://doi.org/10.1016/j.compenvurbsys.2017.05.004" TargetMode="External" /><Relationship Type="http://schemas.openxmlformats.org/officeDocument/2006/relationships/hyperlink" Id="rId101" Target="https://doi.org/10.1016/j.knosys.2018.05.033" TargetMode="External" /><Relationship Type="http://schemas.openxmlformats.org/officeDocument/2006/relationships/hyperlink" Id="rId81" Target="https://doi.org/10.1038/s41598-025-30851-3" TargetMode="External" /><Relationship Type="http://schemas.openxmlformats.org/officeDocument/2006/relationships/hyperlink" Id="rId70" Target="https://doi.org/10.1038/s42256-025-01114-7" TargetMode="External" /><Relationship Type="http://schemas.openxmlformats.org/officeDocument/2006/relationships/hyperlink" Id="rId79" Target="https://doi.org/10.1109/MPRV.2017.11" TargetMode="External" /><Relationship Type="http://schemas.openxmlformats.org/officeDocument/2006/relationships/hyperlink" Id="rId83" Target="https://doi.org/10.1109/TSSC.1968.300136" TargetMode="External" /><Relationship Type="http://schemas.openxmlformats.org/officeDocument/2006/relationships/hyperlink" Id="rId103" Target="https://doi.org/10.1111/risa.17685" TargetMode="External" /><Relationship Type="http://schemas.openxmlformats.org/officeDocument/2006/relationships/hyperlink" Id="rId93" Target="https://doi.org/10.1139/dsa-2024-0072" TargetMode="External" /><Relationship Type="http://schemas.openxmlformats.org/officeDocument/2006/relationships/hyperlink" Id="rId86" Target="https://doi.org/10.1177/027836498600500106" TargetMode="External" /><Relationship Type="http://schemas.openxmlformats.org/officeDocument/2006/relationships/hyperlink" Id="rId77" Target="https://doi.org/10.1177/16878132251355020" TargetMode="External" /><Relationship Type="http://schemas.openxmlformats.org/officeDocument/2006/relationships/hyperlink" Id="rId97" Target="https://doi.org/10.2760/108466" TargetMode="External" /><Relationship Type="http://schemas.openxmlformats.org/officeDocument/2006/relationships/hyperlink" Id="rId91" Target="https://doi.org/10.3390/drones9050376" TargetMode="External" /><Relationship Type="http://schemas.openxmlformats.org/officeDocument/2006/relationships/hyperlink" Id="rId89" Target="https://doi.org/10.3390/drones9100666" TargetMode="External" /><Relationship Type="http://schemas.openxmlformats.org/officeDocument/2006/relationships/hyperlink" Id="rId62" Target="https://github.com/zervakisai/uavplan" TargetMode="External" /><Relationship Type="http://schemas.openxmlformats.org/officeDocument/2006/relationships/hyperlink" Id="rId72" Target="https://mapping.emergency.copernicus.eu/activations/EMSN16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2026-03-28T10:37:47Z</dcterms:created>
  <dcterms:modified xsi:type="dcterms:W3CDTF">2026-03-28T10:37:47Z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 ^{1} Hellenic Army Academy, Athens, Greece; zervakisai@gmail.com (K.Z.); eliaspanagiot@gmail.com (E.P.) </vt:lpwstr>
  </property>
  <property fmtid="{D5CDD505-2E9C-101B-9397-08002B2CF9AE}" pid="3" name="bibliography">
    <vt:lpwstr>../references.bib</vt:lpwstr>
  </property>
</Properties>
</file>