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E3F7E" w14:textId="7C713042" w:rsidR="00F6391D" w:rsidRPr="00F6391D" w:rsidRDefault="00F6391D" w:rsidP="00F6391D">
      <w:pPr>
        <w:spacing w:before="100" w:beforeAutospacing="1" w:after="100" w:afterAutospacing="1"/>
        <w:outlineLvl w:val="2"/>
        <w:rPr>
          <w:rFonts w:ascii="Arial" w:eastAsia="Times New Roman" w:hAnsi="Arial" w:cs="Arial"/>
          <w:color w:val="A7A9AC"/>
          <w:spacing w:val="4"/>
          <w:sz w:val="42"/>
          <w:szCs w:val="42"/>
          <w:lang w:eastAsia="en-GB"/>
        </w:rPr>
      </w:pPr>
      <w:r>
        <w:rPr>
          <w:rFonts w:ascii="Arial" w:eastAsia="Times New Roman" w:hAnsi="Arial" w:cs="Arial"/>
          <w:b/>
          <w:bCs/>
          <w:color w:val="A7A9AC"/>
          <w:spacing w:val="4"/>
          <w:sz w:val="42"/>
          <w:szCs w:val="42"/>
          <w:lang w:eastAsia="en-GB"/>
        </w:rPr>
        <w:t>A1 RECRUITMENT SERVICES</w:t>
      </w:r>
      <w:r w:rsidRPr="00F6391D">
        <w:rPr>
          <w:rFonts w:ascii="Arial" w:eastAsia="Times New Roman" w:hAnsi="Arial" w:cs="Arial"/>
          <w:b/>
          <w:bCs/>
          <w:color w:val="A7A9AC"/>
          <w:spacing w:val="4"/>
          <w:sz w:val="42"/>
          <w:szCs w:val="42"/>
          <w:lang w:eastAsia="en-GB"/>
        </w:rPr>
        <w:t xml:space="preserve"> </w:t>
      </w:r>
      <w:r w:rsidR="00BC2CEA">
        <w:rPr>
          <w:rFonts w:ascii="Arial" w:eastAsia="Times New Roman" w:hAnsi="Arial" w:cs="Arial"/>
          <w:b/>
          <w:bCs/>
          <w:color w:val="A7A9AC"/>
          <w:spacing w:val="4"/>
          <w:sz w:val="42"/>
          <w:szCs w:val="42"/>
          <w:lang w:eastAsia="en-GB"/>
        </w:rPr>
        <w:t>LTD</w:t>
      </w:r>
      <w:r w:rsidRPr="00F6391D">
        <w:rPr>
          <w:rFonts w:ascii="Arial" w:eastAsia="Times New Roman" w:hAnsi="Arial" w:cs="Arial"/>
          <w:b/>
          <w:bCs/>
          <w:color w:val="A7A9AC"/>
          <w:spacing w:val="4"/>
          <w:sz w:val="42"/>
          <w:szCs w:val="42"/>
          <w:lang w:eastAsia="en-GB"/>
        </w:rPr>
        <w:t xml:space="preserve"> CLIENT TERMS OF BUSINESS FOR THE PLACEMENT OF PERMANENT CANDIDATES</w:t>
      </w:r>
    </w:p>
    <w:p w14:paraId="5436B384"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5191BAA0" w14:textId="77777777" w:rsidR="00F6391D" w:rsidRPr="00F6391D" w:rsidRDefault="00F6391D" w:rsidP="00F6391D">
      <w:pPr>
        <w:spacing w:before="100" w:beforeAutospacing="1" w:after="100" w:afterAutospacing="1" w:line="360" w:lineRule="atLeast"/>
        <w:outlineLvl w:val="3"/>
        <w:rPr>
          <w:rFonts w:ascii="Arial" w:eastAsia="Times New Roman" w:hAnsi="Arial" w:cs="Arial"/>
          <w:caps/>
          <w:color w:val="0072BC"/>
          <w:spacing w:val="23"/>
          <w:sz w:val="27"/>
          <w:szCs w:val="27"/>
          <w:lang w:eastAsia="en-GB"/>
        </w:rPr>
      </w:pPr>
      <w:r w:rsidRPr="00F6391D">
        <w:rPr>
          <w:rFonts w:ascii="Arial" w:eastAsia="Times New Roman" w:hAnsi="Arial" w:cs="Arial"/>
          <w:b/>
          <w:bCs/>
          <w:caps/>
          <w:color w:val="0072BC"/>
          <w:spacing w:val="23"/>
          <w:sz w:val="27"/>
          <w:szCs w:val="27"/>
          <w:lang w:eastAsia="en-GB"/>
        </w:rPr>
        <w:t>THE PARTIES</w:t>
      </w:r>
    </w:p>
    <w:p w14:paraId="5EB166A3"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56BB653D" w14:textId="75B9773E" w:rsidR="00F6391D" w:rsidRPr="00F6391D" w:rsidRDefault="00F6391D" w:rsidP="00F6391D">
      <w:pPr>
        <w:numPr>
          <w:ilvl w:val="0"/>
          <w:numId w:val="1"/>
        </w:numPr>
        <w:spacing w:after="300"/>
        <w:rPr>
          <w:rFonts w:ascii="Arial" w:eastAsia="Times New Roman" w:hAnsi="Arial" w:cs="Arial"/>
          <w:color w:val="626262"/>
          <w:spacing w:val="4"/>
          <w:sz w:val="21"/>
          <w:szCs w:val="21"/>
          <w:lang w:eastAsia="en-GB"/>
        </w:rPr>
      </w:pPr>
      <w:r>
        <w:rPr>
          <w:rFonts w:ascii="Arial" w:eastAsia="Times New Roman" w:hAnsi="Arial" w:cs="Arial"/>
          <w:b/>
          <w:bCs/>
          <w:color w:val="626262"/>
          <w:spacing w:val="4"/>
          <w:sz w:val="21"/>
          <w:szCs w:val="21"/>
          <w:lang w:eastAsia="en-GB"/>
        </w:rPr>
        <w:t>A1 Recruitment Services</w:t>
      </w:r>
      <w:r w:rsidRPr="00F6391D">
        <w:rPr>
          <w:rFonts w:ascii="Arial" w:eastAsia="Times New Roman" w:hAnsi="Arial" w:cs="Arial"/>
          <w:b/>
          <w:bCs/>
          <w:color w:val="626262"/>
          <w:spacing w:val="4"/>
          <w:sz w:val="21"/>
          <w:szCs w:val="21"/>
          <w:lang w:eastAsia="en-GB"/>
        </w:rPr>
        <w:t xml:space="preserve"> (UK) (registered company no. </w:t>
      </w:r>
      <w:r>
        <w:rPr>
          <w:rFonts w:ascii="Arial" w:eastAsia="Times New Roman" w:hAnsi="Arial" w:cs="Arial"/>
          <w:b/>
          <w:bCs/>
          <w:color w:val="626262"/>
          <w:spacing w:val="4"/>
          <w:sz w:val="21"/>
          <w:szCs w:val="21"/>
          <w:lang w:eastAsia="en-GB"/>
        </w:rPr>
        <w:t>12978152</w:t>
      </w:r>
      <w:r w:rsidRPr="00F6391D">
        <w:rPr>
          <w:rFonts w:ascii="Arial" w:eastAsia="Times New Roman" w:hAnsi="Arial" w:cs="Arial"/>
          <w:b/>
          <w:bCs/>
          <w:color w:val="626262"/>
          <w:spacing w:val="4"/>
          <w:sz w:val="21"/>
          <w:szCs w:val="21"/>
          <w:lang w:eastAsia="en-GB"/>
        </w:rPr>
        <w:t xml:space="preserve">) of </w:t>
      </w:r>
      <w:r>
        <w:rPr>
          <w:rFonts w:ascii="Arial" w:eastAsia="Times New Roman" w:hAnsi="Arial" w:cs="Arial"/>
          <w:b/>
          <w:bCs/>
          <w:color w:val="626262"/>
          <w:spacing w:val="4"/>
          <w:sz w:val="21"/>
          <w:szCs w:val="21"/>
          <w:lang w:eastAsia="en-GB"/>
        </w:rPr>
        <w:t>85 Great Portland Street, London, England, W1W 7LT</w:t>
      </w:r>
      <w:r w:rsidRPr="00F6391D">
        <w:rPr>
          <w:rFonts w:ascii="Arial" w:eastAsia="Times New Roman" w:hAnsi="Arial" w:cs="Arial"/>
          <w:b/>
          <w:bCs/>
          <w:color w:val="626262"/>
          <w:spacing w:val="4"/>
          <w:sz w:val="21"/>
          <w:szCs w:val="21"/>
          <w:lang w:eastAsia="en-GB"/>
        </w:rPr>
        <w:t xml:space="preserve"> whose registered office address is </w:t>
      </w:r>
      <w:r>
        <w:rPr>
          <w:rFonts w:ascii="Arial" w:eastAsia="Times New Roman" w:hAnsi="Arial" w:cs="Arial"/>
          <w:b/>
          <w:bCs/>
          <w:color w:val="626262"/>
          <w:spacing w:val="4"/>
          <w:sz w:val="21"/>
          <w:szCs w:val="21"/>
          <w:lang w:eastAsia="en-GB"/>
        </w:rPr>
        <w:t>85 Great Portland Street, London, England, W1W 7LT</w:t>
      </w:r>
      <w:r w:rsidR="00493B40">
        <w:rPr>
          <w:rFonts w:ascii="Arial" w:eastAsia="Times New Roman" w:hAnsi="Arial" w:cs="Arial"/>
          <w:b/>
          <w:bCs/>
          <w:color w:val="626262"/>
          <w:spacing w:val="4"/>
          <w:sz w:val="21"/>
          <w:szCs w:val="21"/>
          <w:lang w:eastAsia="en-GB"/>
        </w:rPr>
        <w:t xml:space="preserve"> </w:t>
      </w:r>
      <w:r w:rsidRPr="00F6391D">
        <w:rPr>
          <w:rFonts w:ascii="Arial" w:eastAsia="Times New Roman" w:hAnsi="Arial" w:cs="Arial"/>
          <w:b/>
          <w:bCs/>
          <w:color w:val="626262"/>
          <w:spacing w:val="4"/>
          <w:sz w:val="21"/>
          <w:szCs w:val="21"/>
          <w:lang w:eastAsia="en-GB"/>
        </w:rPr>
        <w:t>(“the Employment Business”)</w:t>
      </w:r>
    </w:p>
    <w:p w14:paraId="6E27AFD2"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03910341" w14:textId="77777777" w:rsidR="00F6391D" w:rsidRPr="00F6391D" w:rsidRDefault="00F6391D" w:rsidP="00F6391D">
      <w:pPr>
        <w:numPr>
          <w:ilvl w:val="0"/>
          <w:numId w:val="2"/>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Name and address (“the Client”) to whom the Candidate is supplied or introduced. For the avoidance of doubt the Client shall include any person, firm or corporate body (as the case may be) to whom the Candidate is supplied or Introduced.</w:t>
      </w:r>
    </w:p>
    <w:p w14:paraId="6D3680BE"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5EF5F8B3" w14:textId="77777777" w:rsidR="00F6391D" w:rsidRPr="00F6391D" w:rsidRDefault="00F6391D" w:rsidP="00F6391D">
      <w:pPr>
        <w:numPr>
          <w:ilvl w:val="0"/>
          <w:numId w:val="3"/>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DEFINITIONS</w:t>
      </w:r>
    </w:p>
    <w:p w14:paraId="1D52D8A6"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In these Terms the following definitions apply:</w:t>
      </w:r>
    </w:p>
    <w:p w14:paraId="0E4E282E" w14:textId="7B4CBAB2" w:rsidR="00F6391D" w:rsidRPr="00F6391D" w:rsidRDefault="00F6391D" w:rsidP="00F6391D">
      <w:pPr>
        <w:numPr>
          <w:ilvl w:val="0"/>
          <w:numId w:val="4"/>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“Employment Business” </w:t>
      </w:r>
      <w:r>
        <w:rPr>
          <w:rFonts w:ascii="Arial" w:eastAsia="Times New Roman" w:hAnsi="Arial" w:cs="Arial"/>
          <w:b/>
          <w:bCs/>
          <w:color w:val="626262"/>
          <w:spacing w:val="4"/>
          <w:sz w:val="21"/>
          <w:szCs w:val="21"/>
          <w:lang w:eastAsia="en-GB"/>
        </w:rPr>
        <w:t>A1 Recruitment Services</w:t>
      </w:r>
      <w:r w:rsidRPr="00F6391D">
        <w:rPr>
          <w:rFonts w:ascii="Arial" w:eastAsia="Times New Roman" w:hAnsi="Arial" w:cs="Arial"/>
          <w:b/>
          <w:bCs/>
          <w:color w:val="626262"/>
          <w:spacing w:val="4"/>
          <w:sz w:val="21"/>
          <w:szCs w:val="21"/>
          <w:lang w:eastAsia="en-GB"/>
        </w:rPr>
        <w:t xml:space="preserve"> (UK) Limited (registered company no. </w:t>
      </w:r>
      <w:r>
        <w:rPr>
          <w:rFonts w:ascii="Arial" w:eastAsia="Times New Roman" w:hAnsi="Arial" w:cs="Arial"/>
          <w:b/>
          <w:bCs/>
          <w:color w:val="626262"/>
          <w:spacing w:val="4"/>
          <w:sz w:val="21"/>
          <w:szCs w:val="21"/>
          <w:lang w:eastAsia="en-GB"/>
        </w:rPr>
        <w:t>12978152</w:t>
      </w:r>
      <w:r w:rsidRPr="00F6391D">
        <w:rPr>
          <w:rFonts w:ascii="Arial" w:eastAsia="Times New Roman" w:hAnsi="Arial" w:cs="Arial"/>
          <w:b/>
          <w:bCs/>
          <w:color w:val="626262"/>
          <w:spacing w:val="4"/>
          <w:sz w:val="21"/>
          <w:szCs w:val="21"/>
          <w:lang w:eastAsia="en-GB"/>
        </w:rPr>
        <w:t>) of [</w:t>
      </w:r>
      <w:r>
        <w:rPr>
          <w:rFonts w:ascii="Arial" w:eastAsia="Times New Roman" w:hAnsi="Arial" w:cs="Arial"/>
          <w:b/>
          <w:bCs/>
          <w:color w:val="626262"/>
          <w:spacing w:val="4"/>
          <w:sz w:val="21"/>
          <w:szCs w:val="21"/>
          <w:lang w:eastAsia="en-GB"/>
        </w:rPr>
        <w:t>85 Great Portland Street, London, England, W1W 7LT</w:t>
      </w:r>
      <w:r w:rsidRPr="00F6391D">
        <w:rPr>
          <w:rFonts w:ascii="Arial" w:eastAsia="Times New Roman" w:hAnsi="Arial" w:cs="Arial"/>
          <w:b/>
          <w:bCs/>
          <w:color w:val="626262"/>
          <w:spacing w:val="4"/>
          <w:sz w:val="21"/>
          <w:szCs w:val="21"/>
          <w:lang w:eastAsia="en-GB"/>
        </w:rPr>
        <w:t xml:space="preserve"> whose registered address is </w:t>
      </w:r>
      <w:r>
        <w:rPr>
          <w:rFonts w:ascii="Arial" w:eastAsia="Times New Roman" w:hAnsi="Arial" w:cs="Arial"/>
          <w:b/>
          <w:bCs/>
          <w:color w:val="626262"/>
          <w:spacing w:val="4"/>
          <w:sz w:val="21"/>
          <w:szCs w:val="21"/>
          <w:lang w:eastAsia="en-GB"/>
        </w:rPr>
        <w:t>85 Great Portland Street, London, England, W1W 7</w:t>
      </w:r>
      <w:proofErr w:type="gramStart"/>
      <w:r>
        <w:rPr>
          <w:rFonts w:ascii="Arial" w:eastAsia="Times New Roman" w:hAnsi="Arial" w:cs="Arial"/>
          <w:b/>
          <w:bCs/>
          <w:color w:val="626262"/>
          <w:spacing w:val="4"/>
          <w:sz w:val="21"/>
          <w:szCs w:val="21"/>
          <w:lang w:eastAsia="en-GB"/>
        </w:rPr>
        <w:t>LT</w:t>
      </w:r>
      <w:r w:rsidRPr="00F6391D">
        <w:rPr>
          <w:rFonts w:ascii="Arial" w:eastAsia="Times New Roman" w:hAnsi="Arial" w:cs="Arial"/>
          <w:b/>
          <w:bCs/>
          <w:color w:val="626262"/>
          <w:spacing w:val="4"/>
          <w:sz w:val="21"/>
          <w:szCs w:val="21"/>
          <w:lang w:eastAsia="en-GB"/>
        </w:rPr>
        <w:t>(</w:t>
      </w:r>
      <w:proofErr w:type="gramEnd"/>
      <w:r w:rsidRPr="00F6391D">
        <w:rPr>
          <w:rFonts w:ascii="Arial" w:eastAsia="Times New Roman" w:hAnsi="Arial" w:cs="Arial"/>
          <w:b/>
          <w:bCs/>
          <w:color w:val="626262"/>
          <w:spacing w:val="4"/>
          <w:sz w:val="21"/>
          <w:szCs w:val="21"/>
          <w:lang w:eastAsia="en-GB"/>
        </w:rPr>
        <w:t>“the Employment Business”). “Cancellation Fee” means the fee payable by the Client to the Employment Business when the Client withdraws an offer of Engagement made to the Candidate before the Candidate has accepted the offer and which is calculated in accordance with clause 3.10;</w:t>
      </w:r>
      <w:r w:rsidRPr="00F6391D">
        <w:rPr>
          <w:rFonts w:ascii="Arial" w:eastAsia="Times New Roman" w:hAnsi="Arial" w:cs="Arial"/>
          <w:color w:val="626262"/>
          <w:spacing w:val="4"/>
          <w:sz w:val="21"/>
          <w:szCs w:val="21"/>
          <w:lang w:eastAsia="en-GB"/>
        </w:rPr>
        <w:t> </w:t>
      </w:r>
      <w:r w:rsidRPr="00F6391D">
        <w:rPr>
          <w:rFonts w:ascii="Arial" w:eastAsia="Times New Roman" w:hAnsi="Arial" w:cs="Arial"/>
          <w:b/>
          <w:bCs/>
          <w:color w:val="626262"/>
          <w:spacing w:val="4"/>
          <w:sz w:val="21"/>
          <w:szCs w:val="21"/>
          <w:lang w:eastAsia="en-GB"/>
        </w:rPr>
        <w:t>“Candidate” means the person Introduced by the Employment Business to the Client for an Engagement including any officer, employee or other representative of the Candidate if the Candidate is a corporate body, and members of the Employment Business’s own staff;</w:t>
      </w:r>
      <w:r w:rsidRPr="00F6391D">
        <w:rPr>
          <w:rFonts w:ascii="Arial" w:eastAsia="Times New Roman" w:hAnsi="Arial" w:cs="Arial"/>
          <w:color w:val="626262"/>
          <w:spacing w:val="4"/>
          <w:sz w:val="21"/>
          <w:szCs w:val="21"/>
          <w:lang w:eastAsia="en-GB"/>
        </w:rPr>
        <w:t> </w:t>
      </w:r>
      <w:r w:rsidRPr="00F6391D">
        <w:rPr>
          <w:rFonts w:ascii="Arial" w:eastAsia="Times New Roman" w:hAnsi="Arial" w:cs="Arial"/>
          <w:b/>
          <w:bCs/>
          <w:color w:val="626262"/>
          <w:spacing w:val="4"/>
          <w:sz w:val="21"/>
          <w:szCs w:val="21"/>
          <w:lang w:eastAsia="en-GB"/>
        </w:rPr>
        <w:t>“Client” means the person, firm or corporate body together with any subsidiary or associated person, firm or corporate body (as the case may be) to which the Candidate is Introduced;</w:t>
      </w:r>
      <w:r w:rsidRPr="00F6391D">
        <w:rPr>
          <w:rFonts w:ascii="Arial" w:eastAsia="Times New Roman" w:hAnsi="Arial" w:cs="Arial"/>
          <w:color w:val="626262"/>
          <w:spacing w:val="4"/>
          <w:sz w:val="21"/>
          <w:szCs w:val="21"/>
          <w:lang w:eastAsia="en-GB"/>
        </w:rPr>
        <w:t> </w:t>
      </w:r>
      <w:r w:rsidRPr="00F6391D">
        <w:rPr>
          <w:rFonts w:ascii="Arial" w:eastAsia="Times New Roman" w:hAnsi="Arial" w:cs="Arial"/>
          <w:b/>
          <w:bCs/>
          <w:color w:val="626262"/>
          <w:spacing w:val="4"/>
          <w:sz w:val="21"/>
          <w:szCs w:val="21"/>
          <w:lang w:eastAsia="en-GB"/>
        </w:rPr>
        <w:t>“Engagement” means the engagement, employment or use of the Candidate by the Client or by any third party to whom the Candidate has been introduced by the Client, on a permanent or temporary basis, whether under a contract of service or for services; under an Employment Agency, licence, franchise or partnership agreement; or any other engagement; or through a limited company of which the Candidate is an officer, employee or other representative; and “Engage”, “Engages” and “Engaged” shall be construed accordingly;</w:t>
      </w:r>
      <w:r w:rsidRPr="00F6391D">
        <w:rPr>
          <w:rFonts w:ascii="Arial" w:eastAsia="Times New Roman" w:hAnsi="Arial" w:cs="Arial"/>
          <w:color w:val="626262"/>
          <w:spacing w:val="4"/>
          <w:sz w:val="21"/>
          <w:szCs w:val="21"/>
          <w:lang w:eastAsia="en-GB"/>
        </w:rPr>
        <w:t> </w:t>
      </w:r>
      <w:r w:rsidRPr="00F6391D">
        <w:rPr>
          <w:rFonts w:ascii="Arial" w:eastAsia="Times New Roman" w:hAnsi="Arial" w:cs="Arial"/>
          <w:b/>
          <w:bCs/>
          <w:color w:val="626262"/>
          <w:spacing w:val="4"/>
          <w:sz w:val="21"/>
          <w:szCs w:val="21"/>
          <w:lang w:eastAsia="en-GB"/>
        </w:rPr>
        <w:t>“Introduction” means (</w:t>
      </w:r>
      <w:proofErr w:type="spellStart"/>
      <w:r w:rsidRPr="00F6391D">
        <w:rPr>
          <w:rFonts w:ascii="Arial" w:eastAsia="Times New Roman" w:hAnsi="Arial" w:cs="Arial"/>
          <w:b/>
          <w:bCs/>
          <w:color w:val="626262"/>
          <w:spacing w:val="4"/>
          <w:sz w:val="21"/>
          <w:szCs w:val="21"/>
          <w:lang w:eastAsia="en-GB"/>
        </w:rPr>
        <w:t>i</w:t>
      </w:r>
      <w:proofErr w:type="spellEnd"/>
      <w:r w:rsidRPr="00F6391D">
        <w:rPr>
          <w:rFonts w:ascii="Arial" w:eastAsia="Times New Roman" w:hAnsi="Arial" w:cs="Arial"/>
          <w:b/>
          <w:bCs/>
          <w:color w:val="626262"/>
          <w:spacing w:val="4"/>
          <w:sz w:val="21"/>
          <w:szCs w:val="21"/>
          <w:lang w:eastAsia="en-GB"/>
        </w:rPr>
        <w:t xml:space="preserve">) the passing to the Client of a curriculum </w:t>
      </w:r>
      <w:proofErr w:type="spellStart"/>
      <w:r w:rsidRPr="00F6391D">
        <w:rPr>
          <w:rFonts w:ascii="Arial" w:eastAsia="Times New Roman" w:hAnsi="Arial" w:cs="Arial"/>
          <w:b/>
          <w:bCs/>
          <w:color w:val="626262"/>
          <w:spacing w:val="4"/>
          <w:sz w:val="21"/>
          <w:szCs w:val="21"/>
          <w:lang w:eastAsia="en-GB"/>
        </w:rPr>
        <w:t>vitæ</w:t>
      </w:r>
      <w:proofErr w:type="spellEnd"/>
      <w:r w:rsidRPr="00F6391D">
        <w:rPr>
          <w:rFonts w:ascii="Arial" w:eastAsia="Times New Roman" w:hAnsi="Arial" w:cs="Arial"/>
          <w:b/>
          <w:bCs/>
          <w:color w:val="626262"/>
          <w:spacing w:val="4"/>
          <w:sz w:val="21"/>
          <w:szCs w:val="21"/>
          <w:lang w:eastAsia="en-GB"/>
        </w:rPr>
        <w:t xml:space="preserve"> or information which identifies the Candidate or (ii) the Client’s interview </w:t>
      </w:r>
      <w:r w:rsidRPr="00F6391D">
        <w:rPr>
          <w:rFonts w:ascii="Arial" w:eastAsia="Times New Roman" w:hAnsi="Arial" w:cs="Arial"/>
          <w:b/>
          <w:bCs/>
          <w:color w:val="626262"/>
          <w:spacing w:val="4"/>
          <w:sz w:val="21"/>
          <w:szCs w:val="21"/>
          <w:lang w:eastAsia="en-GB"/>
        </w:rPr>
        <w:lastRenderedPageBreak/>
        <w:t>of a Candidate (in person, by telephone or by any other means), following the Client’s instruction to the Employment Business to search for a Candidate; and, in either case, which</w:t>
      </w:r>
      <w:r w:rsidRPr="00F6391D">
        <w:rPr>
          <w:rFonts w:ascii="Arial" w:eastAsia="Times New Roman" w:hAnsi="Arial" w:cs="Arial"/>
          <w:color w:val="626262"/>
          <w:spacing w:val="4"/>
          <w:sz w:val="21"/>
          <w:szCs w:val="21"/>
          <w:lang w:eastAsia="en-GB"/>
        </w:rPr>
        <w:t> </w:t>
      </w:r>
      <w:r w:rsidRPr="00F6391D">
        <w:rPr>
          <w:rFonts w:ascii="Arial" w:eastAsia="Times New Roman" w:hAnsi="Arial" w:cs="Arial"/>
          <w:b/>
          <w:bCs/>
          <w:color w:val="626262"/>
          <w:spacing w:val="4"/>
          <w:sz w:val="21"/>
          <w:szCs w:val="21"/>
          <w:lang w:eastAsia="en-GB"/>
        </w:rPr>
        <w:t>leads to an Engagement of the Candidate; and “Introduces” and “Introduced” shall be construed accordingly;</w:t>
      </w:r>
      <w:r w:rsidRPr="00F6391D">
        <w:rPr>
          <w:rFonts w:ascii="Arial" w:eastAsia="Times New Roman" w:hAnsi="Arial" w:cs="Arial"/>
          <w:color w:val="626262"/>
          <w:spacing w:val="4"/>
          <w:sz w:val="21"/>
          <w:szCs w:val="21"/>
          <w:lang w:eastAsia="en-GB"/>
        </w:rPr>
        <w:t> </w:t>
      </w:r>
      <w:r w:rsidRPr="00F6391D">
        <w:rPr>
          <w:rFonts w:ascii="Arial" w:eastAsia="Times New Roman" w:hAnsi="Arial" w:cs="Arial"/>
          <w:b/>
          <w:bCs/>
          <w:color w:val="626262"/>
          <w:spacing w:val="4"/>
          <w:sz w:val="21"/>
          <w:szCs w:val="21"/>
          <w:lang w:eastAsia="en-GB"/>
        </w:rPr>
        <w:t>“Introduction Fee” means the fee payable by the Client to the Employment Business for an Introduction resulting in an Engagement;</w:t>
      </w:r>
      <w:r w:rsidRPr="00F6391D">
        <w:rPr>
          <w:rFonts w:ascii="Arial" w:eastAsia="Times New Roman" w:hAnsi="Arial" w:cs="Arial"/>
          <w:color w:val="626262"/>
          <w:spacing w:val="4"/>
          <w:sz w:val="21"/>
          <w:szCs w:val="21"/>
          <w:lang w:eastAsia="en-GB"/>
        </w:rPr>
        <w:t> </w:t>
      </w:r>
      <w:r w:rsidRPr="00F6391D">
        <w:rPr>
          <w:rFonts w:ascii="Arial" w:eastAsia="Times New Roman" w:hAnsi="Arial" w:cs="Arial"/>
          <w:b/>
          <w:bCs/>
          <w:color w:val="626262"/>
          <w:spacing w:val="4"/>
          <w:sz w:val="21"/>
          <w:szCs w:val="21"/>
          <w:lang w:eastAsia="en-GB"/>
        </w:rPr>
        <w:t>“Remuneration” includes gross base salary or fees, guaranteed and/or anticipated bonus and commission earnings, allowances, inducement payments, the benefit of a company car and all other payments and taxable (and, where applicable, non-taxable) emoluments payable to or receivable by the Candidate for services rendered to or on behalf of the Client or any third party. Where the Client provides a company car, a notional amount of £5500 will be added to the salary in order to calculate the Employment Business’ fee;</w:t>
      </w:r>
      <w:r w:rsidRPr="00F6391D">
        <w:rPr>
          <w:rFonts w:ascii="Arial" w:eastAsia="Times New Roman" w:hAnsi="Arial" w:cs="Arial"/>
          <w:color w:val="626262"/>
          <w:spacing w:val="4"/>
          <w:sz w:val="21"/>
          <w:szCs w:val="21"/>
          <w:lang w:eastAsia="en-GB"/>
        </w:rPr>
        <w:t> </w:t>
      </w:r>
      <w:r w:rsidRPr="00F6391D">
        <w:rPr>
          <w:rFonts w:ascii="Arial" w:eastAsia="Times New Roman" w:hAnsi="Arial" w:cs="Arial"/>
          <w:b/>
          <w:bCs/>
          <w:color w:val="626262"/>
          <w:spacing w:val="4"/>
          <w:sz w:val="21"/>
          <w:szCs w:val="21"/>
          <w:lang w:eastAsia="en-GB"/>
        </w:rPr>
        <w:t xml:space="preserve">“Replacement Candidate” means any Candidate Introduced by the Employment Business to the Client to fill the Engagement following the Introduction of another Candidate whose Engagement either did not commence or was terminated during the first 4 weeks of the </w:t>
      </w:r>
      <w:proofErr w:type="gramStart"/>
      <w:r w:rsidRPr="00F6391D">
        <w:rPr>
          <w:rFonts w:ascii="Arial" w:eastAsia="Times New Roman" w:hAnsi="Arial" w:cs="Arial"/>
          <w:b/>
          <w:bCs/>
          <w:color w:val="626262"/>
          <w:spacing w:val="4"/>
          <w:sz w:val="21"/>
          <w:szCs w:val="21"/>
          <w:lang w:eastAsia="en-GB"/>
        </w:rPr>
        <w:t>Engagement;</w:t>
      </w:r>
      <w:proofErr w:type="gramEnd"/>
    </w:p>
    <w:p w14:paraId="67683850"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24453978" w14:textId="77777777" w:rsidR="00F6391D" w:rsidRPr="00F6391D" w:rsidRDefault="00F6391D" w:rsidP="00F6391D">
      <w:pPr>
        <w:numPr>
          <w:ilvl w:val="0"/>
          <w:numId w:val="5"/>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Unless the context requires otherwise, references to the singular include the plural and the masculine includes the feminine and vice versa.</w:t>
      </w:r>
    </w:p>
    <w:p w14:paraId="0EBA735C"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21E83DD5" w14:textId="77777777" w:rsidR="00F6391D" w:rsidRPr="00F6391D" w:rsidRDefault="00F6391D" w:rsidP="00F6391D">
      <w:pPr>
        <w:numPr>
          <w:ilvl w:val="0"/>
          <w:numId w:val="6"/>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headings contained in these Terms are for convenience only and do not affect their interpretation.</w:t>
      </w:r>
    </w:p>
    <w:p w14:paraId="6598CAB3"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31A52951" w14:textId="77777777" w:rsidR="00F6391D" w:rsidRPr="00F6391D" w:rsidRDefault="00F6391D" w:rsidP="00F6391D">
      <w:pPr>
        <w:numPr>
          <w:ilvl w:val="0"/>
          <w:numId w:val="7"/>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CONTRACT</w:t>
      </w:r>
    </w:p>
    <w:p w14:paraId="282EDEAC"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29212296" w14:textId="77777777" w:rsidR="00F6391D" w:rsidRPr="00F6391D" w:rsidRDefault="00F6391D" w:rsidP="00F6391D">
      <w:pPr>
        <w:numPr>
          <w:ilvl w:val="0"/>
          <w:numId w:val="8"/>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These terms of business and the attached Schedule(s) (“the Schedules”) constitute the contract between the Employment Business and the Client for the supply of permanent or contract staff (to be engaged directly by the Client) and are deemed to be accepted by the Client by virtue of an Introduction or the Engagement of a Candidate, or the passing by the Client of any information about a Candidate to any third party following an Introduction.</w:t>
      </w:r>
    </w:p>
    <w:p w14:paraId="77388D82"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4F99BD32" w14:textId="77777777" w:rsidR="00F6391D" w:rsidRPr="00F6391D" w:rsidRDefault="00F6391D" w:rsidP="00F6391D">
      <w:pPr>
        <w:numPr>
          <w:ilvl w:val="0"/>
          <w:numId w:val="9"/>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These Terms contain the entire agreement between the parties and unless otherwise agreed in writing by a director of the Employment Business, these Terms prevail over any other terms of business or purchase conditions (or similar) put forward by the Client.</w:t>
      </w:r>
    </w:p>
    <w:p w14:paraId="57FC0280"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79F8D272" w14:textId="77777777" w:rsidR="00F6391D" w:rsidRPr="00F6391D" w:rsidRDefault="00F6391D" w:rsidP="00F6391D">
      <w:pPr>
        <w:numPr>
          <w:ilvl w:val="0"/>
          <w:numId w:val="10"/>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No variation or alteration to these Terms shall be valid unless the details of such variation are agreed between a director or representative of the Employment Business and the Client and are set out in writing and a copy of the varied terms is given to the Client stating the date on or after which such varied terms shall apply.</w:t>
      </w:r>
    </w:p>
    <w:p w14:paraId="59AE5979"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lastRenderedPageBreak/>
        <w:t> </w:t>
      </w:r>
    </w:p>
    <w:p w14:paraId="10AB4CC1" w14:textId="77777777" w:rsidR="00F6391D" w:rsidRPr="00F6391D" w:rsidRDefault="00F6391D" w:rsidP="00F6391D">
      <w:pPr>
        <w:numPr>
          <w:ilvl w:val="0"/>
          <w:numId w:val="11"/>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Employment Business acts as an employment agency (as defined in Section 13(2) of the Employment Agencies Act 1973) when Introducing Candidates to the Client for direct Engagement by that Client.</w:t>
      </w:r>
    </w:p>
    <w:p w14:paraId="16AC3AC5"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685742F3" w14:textId="77777777" w:rsidR="00F6391D" w:rsidRPr="00F6391D" w:rsidRDefault="00F6391D" w:rsidP="00F6391D">
      <w:pPr>
        <w:numPr>
          <w:ilvl w:val="0"/>
          <w:numId w:val="12"/>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NOTIFICATION AND FEES</w:t>
      </w:r>
    </w:p>
    <w:p w14:paraId="76B044A2"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6345EB51" w14:textId="77777777" w:rsidR="00F6391D" w:rsidRPr="00F6391D" w:rsidRDefault="00F6391D" w:rsidP="00F6391D">
      <w:pPr>
        <w:numPr>
          <w:ilvl w:val="0"/>
          <w:numId w:val="13"/>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Client agrees to:</w:t>
      </w:r>
    </w:p>
    <w:p w14:paraId="0C6174FF"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11D203B3" w14:textId="77777777" w:rsidR="00F6391D" w:rsidRPr="00F6391D" w:rsidRDefault="00F6391D" w:rsidP="00F6391D">
      <w:pPr>
        <w:numPr>
          <w:ilvl w:val="0"/>
          <w:numId w:val="14"/>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Notify the Employment Business immediately of the terms of any offer of an Engagement which it makes to the </w:t>
      </w:r>
      <w:proofErr w:type="gramStart"/>
      <w:r w:rsidRPr="00F6391D">
        <w:rPr>
          <w:rFonts w:ascii="Arial" w:eastAsia="Times New Roman" w:hAnsi="Arial" w:cs="Arial"/>
          <w:b/>
          <w:bCs/>
          <w:color w:val="626262"/>
          <w:spacing w:val="4"/>
          <w:sz w:val="21"/>
          <w:szCs w:val="21"/>
          <w:lang w:eastAsia="en-GB"/>
        </w:rPr>
        <w:t>Candidate;</w:t>
      </w:r>
      <w:proofErr w:type="gramEnd"/>
    </w:p>
    <w:p w14:paraId="40E4B22F" w14:textId="77777777" w:rsidR="00F6391D" w:rsidRPr="00F6391D" w:rsidRDefault="00F6391D" w:rsidP="00F6391D">
      <w:pPr>
        <w:numPr>
          <w:ilvl w:val="1"/>
          <w:numId w:val="14"/>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pay the Introduction Fee, to be calculated in accordance with the provisions of this clause 3.</w:t>
      </w:r>
    </w:p>
    <w:p w14:paraId="20948BD8" w14:textId="77777777" w:rsidR="00F6391D" w:rsidRPr="00F6391D" w:rsidRDefault="00F6391D" w:rsidP="00F6391D">
      <w:pPr>
        <w:numPr>
          <w:ilvl w:val="1"/>
          <w:numId w:val="14"/>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Notify the Employment Business immediately that its offer of an Engagement to the Candidate has been accepted and to provide details to the Employment Business of the Remuneration agreed with the Candidate together with any documentary evidence as requested by the Employment Business; and</w:t>
      </w:r>
    </w:p>
    <w:p w14:paraId="7DC59DFB"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214A8F16" w14:textId="77777777" w:rsidR="00F6391D" w:rsidRPr="00F6391D" w:rsidRDefault="00F6391D" w:rsidP="00F6391D">
      <w:pPr>
        <w:numPr>
          <w:ilvl w:val="0"/>
          <w:numId w:val="15"/>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Introduction Fee calculated in accordance with clause 3.3 below is payable if the Client Engages the Candidate within the period of 12 calendar months from the date of (a) the Introduction, (b) the Client’s withdrawal of an offer of Engagement or (c) the Candidate’s rejection of an offer of an Engagement, (whichever is the later).</w:t>
      </w:r>
    </w:p>
    <w:p w14:paraId="445FFDDB"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319AA39C" w14:textId="77777777" w:rsidR="00F6391D" w:rsidRPr="00F6391D" w:rsidRDefault="00F6391D" w:rsidP="00F6391D">
      <w:pPr>
        <w:numPr>
          <w:ilvl w:val="0"/>
          <w:numId w:val="16"/>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Introduction Fee is the amount equal to a % of the Remuneration applicable during the first 12 months of the Engagement.</w:t>
      </w:r>
    </w:p>
    <w:p w14:paraId="1483647A"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0FB256C5" w14:textId="77777777" w:rsidR="00F6391D" w:rsidRPr="00F6391D" w:rsidRDefault="00F6391D" w:rsidP="00F6391D">
      <w:pPr>
        <w:numPr>
          <w:ilvl w:val="0"/>
          <w:numId w:val="17"/>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Where the actual Remuneration is not known, the Employment Business will charge an Introduction Fee calculated in accordance with clause 3.3 based on its determination of the Remuneration taking into account the market rate level of remuneration applicable for the position in which the Candidate has been Engaged and with regard to any information supplied to the Employment Business by the Client and/or comparable positions in the market generally.</w:t>
      </w:r>
    </w:p>
    <w:p w14:paraId="47B76AC1"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628747E0" w14:textId="77777777" w:rsidR="00F6391D" w:rsidRPr="00F6391D" w:rsidRDefault="00F6391D" w:rsidP="00F6391D">
      <w:pPr>
        <w:numPr>
          <w:ilvl w:val="0"/>
          <w:numId w:val="18"/>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Where prior to the commencement of the Engagement the Employment Business and the Client agree that the Engagement will be on the basis of a fixed term of less than 12 months, the Introduction Fee will apply pro-rata. If the </w:t>
      </w:r>
      <w:r w:rsidRPr="00F6391D">
        <w:rPr>
          <w:rFonts w:ascii="Arial" w:eastAsia="Times New Roman" w:hAnsi="Arial" w:cs="Arial"/>
          <w:b/>
          <w:bCs/>
          <w:color w:val="626262"/>
          <w:spacing w:val="4"/>
          <w:sz w:val="21"/>
          <w:szCs w:val="21"/>
          <w:lang w:eastAsia="en-GB"/>
        </w:rPr>
        <w:lastRenderedPageBreak/>
        <w:t>Client (a) extends the Engagement beyond the initial fixed term or (b) re-Engages the Candidate within 12 calendar months from the date of termination of the agreed period of the fixed term Engagement, then the Client shall be liable to pay a further Introduction Fee based on the additional Remuneration applicable for (a) the extended period of Engagement or (b) the period of the second and any subsequent Engagement, subject to the Client not being liable to pay a greater sum in Introduction Fees than the Client would have been liable for under clause 3.3 had the Candidate first been Engaged for 12 months or more.</w:t>
      </w:r>
    </w:p>
    <w:p w14:paraId="7ADD4D70"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16F0C590" w14:textId="77777777" w:rsidR="00F6391D" w:rsidRPr="00F6391D" w:rsidRDefault="00F6391D" w:rsidP="00F6391D">
      <w:pPr>
        <w:numPr>
          <w:ilvl w:val="0"/>
          <w:numId w:val="19"/>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Client’s obligations under this clause 3 shall be performed without any right of the Client to invoke set-off, deductions, withholdings or other similar rights.</w:t>
      </w:r>
    </w:p>
    <w:p w14:paraId="2DD7F32A"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50986188" w14:textId="77777777" w:rsidR="00F6391D" w:rsidRPr="00F6391D" w:rsidRDefault="00F6391D" w:rsidP="00F6391D">
      <w:pPr>
        <w:numPr>
          <w:ilvl w:val="0"/>
          <w:numId w:val="20"/>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Introduction Fee shall be payable within 14 days of the date of the Employment Business’s invoice which shall be rendered once the Candidate accepts the offer of the Engagement, whether such offer is conditional or not.</w:t>
      </w:r>
    </w:p>
    <w:p w14:paraId="00E27EFE"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0C2E8EEC" w14:textId="77777777" w:rsidR="00F6391D" w:rsidRPr="00F6391D" w:rsidRDefault="00F6391D" w:rsidP="00F6391D">
      <w:pPr>
        <w:numPr>
          <w:ilvl w:val="0"/>
          <w:numId w:val="21"/>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VAT is charged at the standard rate on all fees.</w:t>
      </w:r>
    </w:p>
    <w:p w14:paraId="712DB37F"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014C0A96" w14:textId="6C12555C" w:rsidR="00F6391D" w:rsidRPr="00F6391D" w:rsidRDefault="00F6391D" w:rsidP="00F6391D">
      <w:pPr>
        <w:numPr>
          <w:ilvl w:val="0"/>
          <w:numId w:val="22"/>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The Employment Business reserves the right to charge interest on invoiced amounts unpaid by the due date at the rate of 4 per annum above the base rate from time to time of the </w:t>
      </w:r>
      <w:r w:rsidR="00E17A9A">
        <w:rPr>
          <w:rFonts w:ascii="Arial" w:eastAsia="Times New Roman" w:hAnsi="Arial" w:cs="Arial"/>
          <w:b/>
          <w:bCs/>
          <w:color w:val="626262"/>
          <w:spacing w:val="4"/>
          <w:sz w:val="21"/>
          <w:szCs w:val="21"/>
          <w:lang w:eastAsia="en-GB"/>
        </w:rPr>
        <w:t>A1 Recruitment Services LTD business bank account</w:t>
      </w:r>
      <w:r w:rsidRPr="00F6391D">
        <w:rPr>
          <w:rFonts w:ascii="Arial" w:eastAsia="Times New Roman" w:hAnsi="Arial" w:cs="Arial"/>
          <w:b/>
          <w:bCs/>
          <w:color w:val="626262"/>
          <w:spacing w:val="4"/>
          <w:sz w:val="21"/>
          <w:szCs w:val="21"/>
          <w:lang w:eastAsia="en-GB"/>
        </w:rPr>
        <w:t xml:space="preserve"> from the due date until the date of payment.</w:t>
      </w:r>
    </w:p>
    <w:p w14:paraId="5D3EC687"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4C52FF10" w14:textId="77777777" w:rsidR="00F6391D" w:rsidRPr="00F6391D" w:rsidRDefault="00F6391D" w:rsidP="00F6391D">
      <w:pPr>
        <w:numPr>
          <w:ilvl w:val="0"/>
          <w:numId w:val="23"/>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In the event that any Employment Business staff with whom the Client has had personal dealings accepts an Engagement with the Client while employed by the Employment Business (or within 6 months of leaving the Employment Business), the Client shall be liable to pay an Introduction Fee to the Employment Business calculated in accordance with Clause 3.3.</w:t>
      </w:r>
    </w:p>
    <w:p w14:paraId="270FDBD6"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26715E1C" w14:textId="77777777" w:rsidR="00F6391D" w:rsidRPr="00F6391D" w:rsidRDefault="00F6391D" w:rsidP="00F6391D">
      <w:pPr>
        <w:numPr>
          <w:ilvl w:val="0"/>
          <w:numId w:val="24"/>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REFUNDS</w:t>
      </w:r>
    </w:p>
    <w:p w14:paraId="663428F1"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7A139E68" w14:textId="77777777" w:rsidR="00F6391D" w:rsidRPr="00F6391D" w:rsidRDefault="00F6391D" w:rsidP="00F6391D">
      <w:pPr>
        <w:numPr>
          <w:ilvl w:val="0"/>
          <w:numId w:val="25"/>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If, after an offer has been made and accepted, the Engagement (a) does not commence because the Candidate withdraws their acceptance; or (b) once it has commenced, is terminated by either the Candidate or the Client (except in circumstances where the Candidate is made redundant) before the expiry of 6 weeks from the date of commencement of the Engagement; then subject to the terms of clause 4.2 the Employment Business will refund the Introduction Fee </w:t>
      </w:r>
      <w:r w:rsidRPr="00F6391D">
        <w:rPr>
          <w:rFonts w:ascii="Arial" w:eastAsia="Times New Roman" w:hAnsi="Arial" w:cs="Arial"/>
          <w:b/>
          <w:bCs/>
          <w:color w:val="626262"/>
          <w:spacing w:val="4"/>
          <w:sz w:val="21"/>
          <w:szCs w:val="21"/>
          <w:lang w:eastAsia="en-GB"/>
        </w:rPr>
        <w:lastRenderedPageBreak/>
        <w:t>in accordance with the accompanying Scale of Refunds set out in the Schedule attached to these Terms.</w:t>
      </w:r>
    </w:p>
    <w:p w14:paraId="5DB0FB75"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69ABA51F" w14:textId="77777777" w:rsidR="00F6391D" w:rsidRPr="00F6391D" w:rsidRDefault="00F6391D" w:rsidP="00F6391D">
      <w:pPr>
        <w:numPr>
          <w:ilvl w:val="0"/>
          <w:numId w:val="26"/>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In order to qualify for the </w:t>
      </w:r>
      <w:proofErr w:type="gramStart"/>
      <w:r w:rsidRPr="00F6391D">
        <w:rPr>
          <w:rFonts w:ascii="Arial" w:eastAsia="Times New Roman" w:hAnsi="Arial" w:cs="Arial"/>
          <w:b/>
          <w:bCs/>
          <w:color w:val="626262"/>
          <w:spacing w:val="4"/>
          <w:sz w:val="21"/>
          <w:szCs w:val="21"/>
          <w:lang w:eastAsia="en-GB"/>
        </w:rPr>
        <w:t>refund</w:t>
      </w:r>
      <w:proofErr w:type="gramEnd"/>
      <w:r w:rsidRPr="00F6391D">
        <w:rPr>
          <w:rFonts w:ascii="Arial" w:eastAsia="Times New Roman" w:hAnsi="Arial" w:cs="Arial"/>
          <w:b/>
          <w:bCs/>
          <w:color w:val="626262"/>
          <w:spacing w:val="4"/>
          <w:sz w:val="21"/>
          <w:szCs w:val="21"/>
          <w:lang w:eastAsia="en-GB"/>
        </w:rPr>
        <w:t xml:space="preserve"> set out in clause 4.1, then:</w:t>
      </w:r>
    </w:p>
    <w:p w14:paraId="78EA8C7F"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591CD61A" w14:textId="77777777" w:rsidR="00F6391D" w:rsidRPr="00F6391D" w:rsidRDefault="00F6391D" w:rsidP="00F6391D">
      <w:pPr>
        <w:numPr>
          <w:ilvl w:val="0"/>
          <w:numId w:val="27"/>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Client must comply with the provisions of clause 3.1 and must notify the Employment Business in writing of the termination of the Engagement or the non-commencement of the Engagement within 7 days of its termination or non-</w:t>
      </w:r>
      <w:proofErr w:type="gramStart"/>
      <w:r w:rsidRPr="00F6391D">
        <w:rPr>
          <w:rFonts w:ascii="Arial" w:eastAsia="Times New Roman" w:hAnsi="Arial" w:cs="Arial"/>
          <w:b/>
          <w:bCs/>
          <w:color w:val="626262"/>
          <w:spacing w:val="4"/>
          <w:sz w:val="21"/>
          <w:szCs w:val="21"/>
          <w:lang w:eastAsia="en-GB"/>
        </w:rPr>
        <w:t>commencement;</w:t>
      </w:r>
      <w:proofErr w:type="gramEnd"/>
      <w:r w:rsidRPr="00F6391D">
        <w:rPr>
          <w:rFonts w:ascii="Arial" w:eastAsia="Times New Roman" w:hAnsi="Arial" w:cs="Arial"/>
          <w:b/>
          <w:bCs/>
          <w:color w:val="626262"/>
          <w:spacing w:val="4"/>
          <w:sz w:val="21"/>
          <w:szCs w:val="21"/>
          <w:lang w:eastAsia="en-GB"/>
        </w:rPr>
        <w:t xml:space="preserve"> and</w:t>
      </w:r>
    </w:p>
    <w:p w14:paraId="424E87ED"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59C158D3" w14:textId="77777777" w:rsidR="00F6391D" w:rsidRPr="00F6391D" w:rsidRDefault="00F6391D" w:rsidP="00F6391D">
      <w:pPr>
        <w:numPr>
          <w:ilvl w:val="0"/>
          <w:numId w:val="28"/>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Client must exclusively give the Employment Business 8 weeks from the date of the notice of non-commencement or termination in which to find one suitable Replacement Candidate based on the original specification given for the position the Client is seeking to fill. If after 8 weeks from the date of the notice no suitable Replacement Candidate can be found, or if the Replacement Candidate’s Engagement is terminated before the expiry of 12 weeks from the date of commencement of the Engagement the Client will then be eligible for a refund, subject to the rest of clause 4.</w:t>
      </w:r>
      <w:r w:rsidRPr="00F6391D">
        <w:rPr>
          <w:rFonts w:ascii="Arial" w:eastAsia="Times New Roman" w:hAnsi="Arial" w:cs="Arial"/>
          <w:color w:val="626262"/>
          <w:spacing w:val="4"/>
          <w:sz w:val="21"/>
          <w:szCs w:val="21"/>
          <w:lang w:eastAsia="en-GB"/>
        </w:rPr>
        <w:t> </w:t>
      </w:r>
      <w:r w:rsidRPr="00F6391D">
        <w:rPr>
          <w:rFonts w:ascii="Arial" w:eastAsia="Times New Roman" w:hAnsi="Arial" w:cs="Arial"/>
          <w:b/>
          <w:bCs/>
          <w:color w:val="626262"/>
          <w:spacing w:val="4"/>
          <w:sz w:val="21"/>
          <w:szCs w:val="21"/>
          <w:lang w:eastAsia="en-GB"/>
        </w:rPr>
        <w:t>No refund or suitable replacement will be provided if the invoice has not been paid within 30 days of issue date.</w:t>
      </w:r>
    </w:p>
    <w:p w14:paraId="69798CAA"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771632D1" w14:textId="77777777" w:rsidR="00F6391D" w:rsidRPr="00F6391D" w:rsidRDefault="00F6391D" w:rsidP="00F6391D">
      <w:pPr>
        <w:numPr>
          <w:ilvl w:val="0"/>
          <w:numId w:val="29"/>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For the purposes of this clause 4 the date of termination of the Engagement shall be the date on which the Candidate ceases working or would have ceased working for the Client, but for any period of garden leave or payment in lieu of notice, whichever is the later</w:t>
      </w:r>
    </w:p>
    <w:p w14:paraId="29A86CB2"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3D5EAA60" w14:textId="77777777" w:rsidR="00F6391D" w:rsidRPr="00F6391D" w:rsidRDefault="00F6391D" w:rsidP="00F6391D">
      <w:pPr>
        <w:numPr>
          <w:ilvl w:val="0"/>
          <w:numId w:val="30"/>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In circumstances where clause 3.5 applies, the full Introduction Fee is payable and there shall be no entitlement to a refund.</w:t>
      </w:r>
    </w:p>
    <w:p w14:paraId="73BB0A2D"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br/>
        <w:t> </w:t>
      </w:r>
    </w:p>
    <w:p w14:paraId="6982505D" w14:textId="77777777" w:rsidR="00F6391D" w:rsidRPr="00F6391D" w:rsidRDefault="00F6391D" w:rsidP="00F6391D">
      <w:pPr>
        <w:numPr>
          <w:ilvl w:val="0"/>
          <w:numId w:val="31"/>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If subsequent to the Client receiving a refund the Candidate is re-Engaged within a period of 6 calendar months from the date of </w:t>
      </w:r>
      <w:proofErr w:type="gramStart"/>
      <w:r w:rsidRPr="00F6391D">
        <w:rPr>
          <w:rFonts w:ascii="Arial" w:eastAsia="Times New Roman" w:hAnsi="Arial" w:cs="Arial"/>
          <w:b/>
          <w:bCs/>
          <w:color w:val="626262"/>
          <w:spacing w:val="4"/>
          <w:sz w:val="21"/>
          <w:szCs w:val="21"/>
          <w:lang w:eastAsia="en-GB"/>
        </w:rPr>
        <w:t>termination</w:t>
      </w:r>
      <w:proofErr w:type="gramEnd"/>
      <w:r w:rsidRPr="00F6391D">
        <w:rPr>
          <w:rFonts w:ascii="Arial" w:eastAsia="Times New Roman" w:hAnsi="Arial" w:cs="Arial"/>
          <w:b/>
          <w:bCs/>
          <w:color w:val="626262"/>
          <w:spacing w:val="4"/>
          <w:sz w:val="21"/>
          <w:szCs w:val="21"/>
          <w:lang w:eastAsia="en-GB"/>
        </w:rPr>
        <w:t xml:space="preserve"> then the refund shall be repaid to the Employment Business. The Client shall not be entitled to any further refunds in relation to the re-Engagement of this Candidate.</w:t>
      </w:r>
    </w:p>
    <w:p w14:paraId="4751EEE7"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2D46FC12" w14:textId="77777777" w:rsidR="00F6391D" w:rsidRPr="00F6391D" w:rsidRDefault="00F6391D" w:rsidP="00F6391D">
      <w:pPr>
        <w:numPr>
          <w:ilvl w:val="0"/>
          <w:numId w:val="32"/>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INTRODUCTIONS TO THIRD PARTIES</w:t>
      </w:r>
    </w:p>
    <w:p w14:paraId="17410473"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34547550"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lastRenderedPageBreak/>
        <w:t>Introductions of Candidates are confidential. If a Client discloses a Candidate’s details to a third party, that will be deemed to be a “Third Party Introduction”. If that Third Party Introduction results in an Engagement of the Candidate by the third party within 6 months of the Employment Business’ Introduction of the Candidate to the Client, then the Client will be liable to the Employment Business for payment of an Introduction Fee in accordance with clause 3. Neither the Client nor the third party shall be entitled to a refund of the Introduction Fee under clause 4 in any circumstances.</w:t>
      </w:r>
    </w:p>
    <w:p w14:paraId="2725471F"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5C26278F" w14:textId="77777777" w:rsidR="00F6391D" w:rsidRPr="00F6391D" w:rsidRDefault="00F6391D" w:rsidP="00F6391D">
      <w:pPr>
        <w:numPr>
          <w:ilvl w:val="0"/>
          <w:numId w:val="33"/>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SUITABILITY CHECKS</w:t>
      </w:r>
    </w:p>
    <w:p w14:paraId="3EC874BD"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2B333DB2" w14:textId="77777777" w:rsidR="00F6391D" w:rsidRPr="00F6391D" w:rsidRDefault="00F6391D" w:rsidP="00F6391D">
      <w:pPr>
        <w:numPr>
          <w:ilvl w:val="0"/>
          <w:numId w:val="34"/>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Employment Business endeavours to ensure the suitability of Candidates Introduced to the Client to work in the position which the Client seeks to fill by taking reasonably practicable steps  </w:t>
      </w:r>
    </w:p>
    <w:p w14:paraId="67D290A1"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14036ED2" w14:textId="77777777" w:rsidR="00F6391D" w:rsidRPr="00F6391D" w:rsidRDefault="00F6391D" w:rsidP="00F6391D">
      <w:pPr>
        <w:numPr>
          <w:ilvl w:val="0"/>
          <w:numId w:val="35"/>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Ensure that it would not be detrimental to the interests of either the Client or the Candidate;</w:t>
      </w:r>
      <w:r w:rsidRPr="00F6391D">
        <w:rPr>
          <w:rFonts w:ascii="Arial" w:eastAsia="Times New Roman" w:hAnsi="Arial" w:cs="Arial"/>
          <w:color w:val="626262"/>
          <w:spacing w:val="4"/>
          <w:sz w:val="21"/>
          <w:szCs w:val="21"/>
          <w:lang w:eastAsia="en-GB"/>
        </w:rPr>
        <w:t> </w:t>
      </w:r>
      <w:r w:rsidRPr="00F6391D">
        <w:rPr>
          <w:rFonts w:ascii="Arial" w:eastAsia="Times New Roman" w:hAnsi="Arial" w:cs="Arial"/>
          <w:b/>
          <w:bCs/>
          <w:color w:val="626262"/>
          <w:spacing w:val="4"/>
          <w:sz w:val="21"/>
          <w:szCs w:val="21"/>
          <w:lang w:eastAsia="en-GB"/>
        </w:rPr>
        <w:t>[in respect of Introductions prior to 1 October 2010]: obtain confirmation of the Candidate’s identity; and that the Candidate has the experience, training, qualifications and any authorisation which the Client considers necessary or which may be required by law or by any professional body].</w:t>
      </w:r>
    </w:p>
    <w:p w14:paraId="62BF2B34" w14:textId="77777777" w:rsidR="00F6391D" w:rsidRPr="00F6391D" w:rsidRDefault="00F6391D" w:rsidP="00F6391D">
      <w:pPr>
        <w:numPr>
          <w:ilvl w:val="1"/>
          <w:numId w:val="35"/>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confirm that the Candidate is willing to work in the position [and]</w:t>
      </w:r>
    </w:p>
    <w:p w14:paraId="5AE95D94" w14:textId="77777777" w:rsidR="00F6391D" w:rsidRPr="00F6391D" w:rsidRDefault="00F6391D" w:rsidP="00F6391D">
      <w:pPr>
        <w:numPr>
          <w:ilvl w:val="1"/>
          <w:numId w:val="35"/>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ensure that both the Client and Candidate are aware of any requirements imposed by law or by any professional body; [and]</w:t>
      </w:r>
    </w:p>
    <w:p w14:paraId="45B7E1FD"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3A657DFA" w14:textId="77777777" w:rsidR="00F6391D" w:rsidRPr="00F6391D" w:rsidRDefault="00F6391D" w:rsidP="00F6391D">
      <w:pPr>
        <w:numPr>
          <w:ilvl w:val="0"/>
          <w:numId w:val="36"/>
        </w:numPr>
        <w:spacing w:before="100" w:beforeAutospacing="1" w:after="100" w:afterAutospacing="1"/>
        <w:rPr>
          <w:rFonts w:ascii="Arial" w:eastAsia="Times New Roman" w:hAnsi="Arial" w:cs="Arial"/>
          <w:color w:val="626262"/>
          <w:spacing w:val="4"/>
          <w:sz w:val="21"/>
          <w:szCs w:val="21"/>
          <w:lang w:eastAsia="en-GB"/>
        </w:rPr>
      </w:pPr>
    </w:p>
    <w:p w14:paraId="629EBC35" w14:textId="77777777" w:rsidR="00F6391D" w:rsidRPr="00F6391D" w:rsidRDefault="00F6391D" w:rsidP="00F6391D">
      <w:pPr>
        <w:numPr>
          <w:ilvl w:val="1"/>
          <w:numId w:val="36"/>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Notwithstanding clause 6.1 the Client shall be obliged to satisfy itself as to the suitability of the Candidate for the position they are seeking to fill. The Client is responsible for:</w:t>
      </w:r>
    </w:p>
    <w:p w14:paraId="7EA715AA"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6AF727D8" w14:textId="77777777" w:rsidR="00F6391D" w:rsidRPr="00F6391D" w:rsidRDefault="00F6391D" w:rsidP="00F6391D">
      <w:pPr>
        <w:numPr>
          <w:ilvl w:val="0"/>
          <w:numId w:val="37"/>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Taking up any references provided by the Candidate before Engaging the </w:t>
      </w:r>
      <w:proofErr w:type="gramStart"/>
      <w:r w:rsidRPr="00F6391D">
        <w:rPr>
          <w:rFonts w:ascii="Arial" w:eastAsia="Times New Roman" w:hAnsi="Arial" w:cs="Arial"/>
          <w:b/>
          <w:bCs/>
          <w:color w:val="626262"/>
          <w:spacing w:val="4"/>
          <w:sz w:val="21"/>
          <w:szCs w:val="21"/>
          <w:lang w:eastAsia="en-GB"/>
        </w:rPr>
        <w:t>Candidate;</w:t>
      </w:r>
      <w:proofErr w:type="gramEnd"/>
    </w:p>
    <w:p w14:paraId="26C08ADF" w14:textId="77777777" w:rsidR="00F6391D" w:rsidRPr="00F6391D" w:rsidRDefault="00F6391D" w:rsidP="00F6391D">
      <w:pPr>
        <w:numPr>
          <w:ilvl w:val="1"/>
          <w:numId w:val="37"/>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satisfying any medical and other requirements, qualifications or permission required for the Candidate to work in the Engagement.</w:t>
      </w:r>
    </w:p>
    <w:p w14:paraId="439C5B29" w14:textId="77777777" w:rsidR="00F6391D" w:rsidRPr="00F6391D" w:rsidRDefault="00F6391D" w:rsidP="00F6391D">
      <w:pPr>
        <w:numPr>
          <w:ilvl w:val="1"/>
          <w:numId w:val="37"/>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arrangement of medical examinations and/or investigations into the medical history of any Candidate; and</w:t>
      </w:r>
    </w:p>
    <w:p w14:paraId="60621F0A" w14:textId="77777777" w:rsidR="00F6391D" w:rsidRPr="00F6391D" w:rsidRDefault="00F6391D" w:rsidP="00F6391D">
      <w:pPr>
        <w:numPr>
          <w:ilvl w:val="1"/>
          <w:numId w:val="37"/>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checking the Candidate’s right to work and obtaining permission to work as may be required by the law of the country in which the Candidate is Engaged to </w:t>
      </w:r>
      <w:proofErr w:type="gramStart"/>
      <w:r w:rsidRPr="00F6391D">
        <w:rPr>
          <w:rFonts w:ascii="Arial" w:eastAsia="Times New Roman" w:hAnsi="Arial" w:cs="Arial"/>
          <w:b/>
          <w:bCs/>
          <w:color w:val="626262"/>
          <w:spacing w:val="4"/>
          <w:sz w:val="21"/>
          <w:szCs w:val="21"/>
          <w:lang w:eastAsia="en-GB"/>
        </w:rPr>
        <w:t>work;</w:t>
      </w:r>
      <w:proofErr w:type="gramEnd"/>
    </w:p>
    <w:p w14:paraId="2F4DB919"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53C2AE3A" w14:textId="77777777" w:rsidR="00F6391D" w:rsidRPr="00F6391D" w:rsidRDefault="00F6391D" w:rsidP="00F6391D">
      <w:pPr>
        <w:numPr>
          <w:ilvl w:val="0"/>
          <w:numId w:val="38"/>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lastRenderedPageBreak/>
        <w:t xml:space="preserve">To enable the Employment </w:t>
      </w:r>
      <w:proofErr w:type="gramStart"/>
      <w:r w:rsidRPr="00F6391D">
        <w:rPr>
          <w:rFonts w:ascii="Arial" w:eastAsia="Times New Roman" w:hAnsi="Arial" w:cs="Arial"/>
          <w:b/>
          <w:bCs/>
          <w:color w:val="626262"/>
          <w:spacing w:val="4"/>
          <w:sz w:val="21"/>
          <w:szCs w:val="21"/>
          <w:lang w:eastAsia="en-GB"/>
        </w:rPr>
        <w:t>Business  to</w:t>
      </w:r>
      <w:proofErr w:type="gramEnd"/>
      <w:r w:rsidRPr="00F6391D">
        <w:rPr>
          <w:rFonts w:ascii="Arial" w:eastAsia="Times New Roman" w:hAnsi="Arial" w:cs="Arial"/>
          <w:b/>
          <w:bCs/>
          <w:color w:val="626262"/>
          <w:spacing w:val="4"/>
          <w:sz w:val="21"/>
          <w:szCs w:val="21"/>
          <w:lang w:eastAsia="en-GB"/>
        </w:rPr>
        <w:t xml:space="preserve"> comply with its obligations under 6.1 above the Client undertakes to provide to the Employment Business details of the position which the Client seeks to fill, including the following:  </w:t>
      </w:r>
    </w:p>
    <w:p w14:paraId="6EA2BF1C"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748A7F6B" w14:textId="77777777" w:rsidR="00F6391D" w:rsidRPr="00F6391D" w:rsidRDefault="00F6391D" w:rsidP="00F6391D">
      <w:pPr>
        <w:numPr>
          <w:ilvl w:val="0"/>
          <w:numId w:val="39"/>
        </w:numPr>
        <w:spacing w:before="100" w:beforeAutospacing="1" w:after="100" w:afterAutospacing="1"/>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The type of work that the Candidate would be required to </w:t>
      </w:r>
      <w:proofErr w:type="gramStart"/>
      <w:r w:rsidRPr="00F6391D">
        <w:rPr>
          <w:rFonts w:ascii="Arial" w:eastAsia="Times New Roman" w:hAnsi="Arial" w:cs="Arial"/>
          <w:b/>
          <w:bCs/>
          <w:color w:val="626262"/>
          <w:spacing w:val="4"/>
          <w:sz w:val="21"/>
          <w:szCs w:val="21"/>
          <w:lang w:eastAsia="en-GB"/>
        </w:rPr>
        <w:t>do;</w:t>
      </w:r>
      <w:proofErr w:type="gramEnd"/>
      <w:r w:rsidRPr="00F6391D">
        <w:rPr>
          <w:rFonts w:ascii="Arial" w:eastAsia="Times New Roman" w:hAnsi="Arial" w:cs="Arial"/>
          <w:b/>
          <w:bCs/>
          <w:color w:val="626262"/>
          <w:spacing w:val="4"/>
          <w:sz w:val="21"/>
          <w:szCs w:val="21"/>
          <w:lang w:eastAsia="en-GB"/>
        </w:rPr>
        <w:t xml:space="preserve">  </w:t>
      </w:r>
    </w:p>
    <w:p w14:paraId="00471B98" w14:textId="77777777" w:rsidR="00F6391D" w:rsidRPr="00F6391D" w:rsidRDefault="00F6391D" w:rsidP="00F6391D">
      <w:pPr>
        <w:numPr>
          <w:ilvl w:val="1"/>
          <w:numId w:val="39"/>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length of notice that the Candidate would be entitled to give and receive to terminate their employment with the Client.</w:t>
      </w:r>
    </w:p>
    <w:p w14:paraId="42FA431A" w14:textId="77777777" w:rsidR="00F6391D" w:rsidRPr="00F6391D" w:rsidRDefault="00F6391D" w:rsidP="00F6391D">
      <w:pPr>
        <w:numPr>
          <w:ilvl w:val="1"/>
          <w:numId w:val="39"/>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intervals of payment of Remuneration; and</w:t>
      </w:r>
    </w:p>
    <w:p w14:paraId="15ED0EB9" w14:textId="77777777" w:rsidR="00F6391D" w:rsidRPr="00F6391D" w:rsidRDefault="00F6391D" w:rsidP="00F6391D">
      <w:pPr>
        <w:numPr>
          <w:ilvl w:val="1"/>
          <w:numId w:val="39"/>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the minimum rate of Remuneration, expenses and any other benefits that would be </w:t>
      </w:r>
      <w:proofErr w:type="gramStart"/>
      <w:r w:rsidRPr="00F6391D">
        <w:rPr>
          <w:rFonts w:ascii="Arial" w:eastAsia="Times New Roman" w:hAnsi="Arial" w:cs="Arial"/>
          <w:b/>
          <w:bCs/>
          <w:color w:val="626262"/>
          <w:spacing w:val="4"/>
          <w:sz w:val="21"/>
          <w:szCs w:val="21"/>
          <w:lang w:eastAsia="en-GB"/>
        </w:rPr>
        <w:t>offered;</w:t>
      </w:r>
      <w:proofErr w:type="gramEnd"/>
    </w:p>
    <w:p w14:paraId="425A7BA4" w14:textId="77777777" w:rsidR="00F6391D" w:rsidRPr="00F6391D" w:rsidRDefault="00F6391D" w:rsidP="00F6391D">
      <w:pPr>
        <w:numPr>
          <w:ilvl w:val="1"/>
          <w:numId w:val="39"/>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the duration or likely duration of the </w:t>
      </w:r>
      <w:proofErr w:type="gramStart"/>
      <w:r w:rsidRPr="00F6391D">
        <w:rPr>
          <w:rFonts w:ascii="Arial" w:eastAsia="Times New Roman" w:hAnsi="Arial" w:cs="Arial"/>
          <w:b/>
          <w:bCs/>
          <w:color w:val="626262"/>
          <w:spacing w:val="4"/>
          <w:sz w:val="21"/>
          <w:szCs w:val="21"/>
          <w:lang w:eastAsia="en-GB"/>
        </w:rPr>
        <w:t>Engagement;</w:t>
      </w:r>
      <w:proofErr w:type="gramEnd"/>
    </w:p>
    <w:p w14:paraId="24461168" w14:textId="77777777" w:rsidR="00F6391D" w:rsidRPr="00F6391D" w:rsidRDefault="00F6391D" w:rsidP="00F6391D">
      <w:pPr>
        <w:numPr>
          <w:ilvl w:val="1"/>
          <w:numId w:val="39"/>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the date the Client requires the Candidate to commence the </w:t>
      </w:r>
      <w:proofErr w:type="gramStart"/>
      <w:r w:rsidRPr="00F6391D">
        <w:rPr>
          <w:rFonts w:ascii="Arial" w:eastAsia="Times New Roman" w:hAnsi="Arial" w:cs="Arial"/>
          <w:b/>
          <w:bCs/>
          <w:color w:val="626262"/>
          <w:spacing w:val="4"/>
          <w:sz w:val="21"/>
          <w:szCs w:val="21"/>
          <w:lang w:eastAsia="en-GB"/>
        </w:rPr>
        <w:t>Engagement;</w:t>
      </w:r>
      <w:proofErr w:type="gramEnd"/>
    </w:p>
    <w:p w14:paraId="2F16798E" w14:textId="77777777" w:rsidR="00F6391D" w:rsidRPr="00F6391D" w:rsidRDefault="00F6391D" w:rsidP="00F6391D">
      <w:pPr>
        <w:numPr>
          <w:ilvl w:val="1"/>
          <w:numId w:val="39"/>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any risks to health or safety known to the Client and what steps the Client has taken to prevent or control such </w:t>
      </w:r>
      <w:proofErr w:type="gramStart"/>
      <w:r w:rsidRPr="00F6391D">
        <w:rPr>
          <w:rFonts w:ascii="Arial" w:eastAsia="Times New Roman" w:hAnsi="Arial" w:cs="Arial"/>
          <w:b/>
          <w:bCs/>
          <w:color w:val="626262"/>
          <w:spacing w:val="4"/>
          <w:sz w:val="21"/>
          <w:szCs w:val="21"/>
          <w:lang w:eastAsia="en-GB"/>
        </w:rPr>
        <w:t>risks;</w:t>
      </w:r>
      <w:proofErr w:type="gramEnd"/>
    </w:p>
    <w:p w14:paraId="0C420DF6" w14:textId="77777777" w:rsidR="00F6391D" w:rsidRPr="00F6391D" w:rsidRDefault="00F6391D" w:rsidP="00F6391D">
      <w:pPr>
        <w:numPr>
          <w:ilvl w:val="1"/>
          <w:numId w:val="39"/>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the experience, training, qualifications and any authorisation which the Client considers necessary or which are required by law or any professional body for the Candidate to possess in order to work in the </w:t>
      </w:r>
      <w:proofErr w:type="gramStart"/>
      <w:r w:rsidRPr="00F6391D">
        <w:rPr>
          <w:rFonts w:ascii="Arial" w:eastAsia="Times New Roman" w:hAnsi="Arial" w:cs="Arial"/>
          <w:b/>
          <w:bCs/>
          <w:color w:val="626262"/>
          <w:spacing w:val="4"/>
          <w:sz w:val="21"/>
          <w:szCs w:val="21"/>
          <w:lang w:eastAsia="en-GB"/>
        </w:rPr>
        <w:t>position;</w:t>
      </w:r>
      <w:proofErr w:type="gramEnd"/>
      <w:r w:rsidRPr="00F6391D">
        <w:rPr>
          <w:rFonts w:ascii="Arial" w:eastAsia="Times New Roman" w:hAnsi="Arial" w:cs="Arial"/>
          <w:b/>
          <w:bCs/>
          <w:color w:val="626262"/>
          <w:spacing w:val="4"/>
          <w:sz w:val="21"/>
          <w:szCs w:val="21"/>
          <w:lang w:eastAsia="en-GB"/>
        </w:rPr>
        <w:t xml:space="preserve">  </w:t>
      </w:r>
    </w:p>
    <w:p w14:paraId="5D1E53E2" w14:textId="77777777" w:rsidR="00F6391D" w:rsidRPr="00F6391D" w:rsidRDefault="00F6391D" w:rsidP="00F6391D">
      <w:pPr>
        <w:numPr>
          <w:ilvl w:val="1"/>
          <w:numId w:val="39"/>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the location and hours of </w:t>
      </w:r>
      <w:proofErr w:type="gramStart"/>
      <w:r w:rsidRPr="00F6391D">
        <w:rPr>
          <w:rFonts w:ascii="Arial" w:eastAsia="Times New Roman" w:hAnsi="Arial" w:cs="Arial"/>
          <w:b/>
          <w:bCs/>
          <w:color w:val="626262"/>
          <w:spacing w:val="4"/>
          <w:sz w:val="21"/>
          <w:szCs w:val="21"/>
          <w:lang w:eastAsia="en-GB"/>
        </w:rPr>
        <w:t>work;</w:t>
      </w:r>
      <w:proofErr w:type="gramEnd"/>
      <w:r w:rsidRPr="00F6391D">
        <w:rPr>
          <w:rFonts w:ascii="Arial" w:eastAsia="Times New Roman" w:hAnsi="Arial" w:cs="Arial"/>
          <w:b/>
          <w:bCs/>
          <w:color w:val="626262"/>
          <w:spacing w:val="4"/>
          <w:sz w:val="21"/>
          <w:szCs w:val="21"/>
          <w:lang w:eastAsia="en-GB"/>
        </w:rPr>
        <w:t xml:space="preserve">  </w:t>
      </w:r>
    </w:p>
    <w:p w14:paraId="6F84E3CF"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58246CD1" w14:textId="77777777" w:rsidR="00F6391D" w:rsidRPr="00F6391D" w:rsidRDefault="00F6391D" w:rsidP="00F6391D">
      <w:pPr>
        <w:numPr>
          <w:ilvl w:val="0"/>
          <w:numId w:val="40"/>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INFORMATION TO BE PROVIDED</w:t>
      </w:r>
    </w:p>
    <w:p w14:paraId="086F6811"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34F81B5C"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When the Employment Business introduces a Candidate to the Client the Employment Business shall inform the Client that they have obtained confirmation of the matters set out in Clause 6.1. Where such information is not given in paper form or by electronic means, it shall be confirmed by such means by the end of the third business day (excluding Saturday, Sunday and any Public or Bank Holiday) following, save where the Candidate has worked within the previous 5 business days and such information has already been given to the Client.</w:t>
      </w:r>
    </w:p>
    <w:p w14:paraId="2D3E6154"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4D28A33D" w14:textId="77777777" w:rsidR="00F6391D" w:rsidRPr="00F6391D" w:rsidRDefault="00F6391D" w:rsidP="00F6391D">
      <w:pPr>
        <w:numPr>
          <w:ilvl w:val="0"/>
          <w:numId w:val="41"/>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CONFIDENTIALITY AND DATA PROTECTION</w:t>
      </w:r>
    </w:p>
    <w:p w14:paraId="2B0B3F31"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69840115"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xml:space="preserve">All information relating to a Candidate is confidential and subject to the Data Protection Act 1998 (“DPA”) and is provided solely for the purpose of providing work-finding services to the Client. Such information must not be used for any other </w:t>
      </w:r>
      <w:r w:rsidRPr="00F6391D">
        <w:rPr>
          <w:rFonts w:ascii="Arial" w:eastAsia="Times New Roman" w:hAnsi="Arial" w:cs="Arial"/>
          <w:b/>
          <w:bCs/>
          <w:color w:val="626262"/>
          <w:spacing w:val="4"/>
          <w:sz w:val="21"/>
          <w:szCs w:val="21"/>
          <w:lang w:eastAsia="en-GB"/>
        </w:rPr>
        <w:lastRenderedPageBreak/>
        <w:t xml:space="preserve">purpose nor divulged to any third party and the Client undertakes to abide by the provisions of the DPA in receiving and processing the data at all times. In </w:t>
      </w:r>
      <w:proofErr w:type="gramStart"/>
      <w:r w:rsidRPr="00F6391D">
        <w:rPr>
          <w:rFonts w:ascii="Arial" w:eastAsia="Times New Roman" w:hAnsi="Arial" w:cs="Arial"/>
          <w:b/>
          <w:bCs/>
          <w:color w:val="626262"/>
          <w:spacing w:val="4"/>
          <w:sz w:val="21"/>
          <w:szCs w:val="21"/>
          <w:lang w:eastAsia="en-GB"/>
        </w:rPr>
        <w:t>addition</w:t>
      </w:r>
      <w:proofErr w:type="gramEnd"/>
      <w:r w:rsidRPr="00F6391D">
        <w:rPr>
          <w:rFonts w:ascii="Arial" w:eastAsia="Times New Roman" w:hAnsi="Arial" w:cs="Arial"/>
          <w:b/>
          <w:bCs/>
          <w:color w:val="626262"/>
          <w:spacing w:val="4"/>
          <w:sz w:val="21"/>
          <w:szCs w:val="21"/>
          <w:lang w:eastAsia="en-GB"/>
        </w:rPr>
        <w:t xml:space="preserve"> information relating to the Employment Business which is capable of being confidential must be kept confidential and not divulged to any third party, except information which is in the public domain.</w:t>
      </w:r>
    </w:p>
    <w:p w14:paraId="082A6B02"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5E57E02D" w14:textId="77777777" w:rsidR="00F6391D" w:rsidRPr="00F6391D" w:rsidRDefault="00F6391D" w:rsidP="00F6391D">
      <w:pPr>
        <w:numPr>
          <w:ilvl w:val="0"/>
          <w:numId w:val="42"/>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LIABILITY</w:t>
      </w:r>
    </w:p>
    <w:p w14:paraId="6C3FFDE1"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6DFB9147"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Employment Business shall not be liable under any circumstances for any loss, expense, damage, delay, costs or compensation (whether direct, indirect or consequential) which may be suffered or incurred by the Client arising from or in any way connected with the Employment Business seeking a Candidate for the Client or from the Introduction to or Engagement of any Candidate by the Client or from the failure of the Employment Business to introduce any Candidate. For the avoidance of doubt, the Employment Business does not exclude liability for death or personal injury arising from its own negligence or for any other loss which it is not permitted to exclude under law.</w:t>
      </w:r>
    </w:p>
    <w:p w14:paraId="67014A66"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379023C4" w14:textId="77777777" w:rsidR="00F6391D" w:rsidRPr="00F6391D" w:rsidRDefault="00F6391D" w:rsidP="00F6391D">
      <w:pPr>
        <w:numPr>
          <w:ilvl w:val="0"/>
          <w:numId w:val="43"/>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NOTICES</w:t>
      </w:r>
    </w:p>
    <w:p w14:paraId="2FB8E195"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62B2E0A0"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All notices which are required to be given in accordance with this Agreement shall be in writing and may be delivered personally or by first class prepaid post to the working address office of the party upon whom the notice is to be served or any other address that the party has notified the other party in writing, by email or facsimile transmission. Any such notice shall be deemed to have been served: if by hand when delivered, if by first class post 48 hours following posting and if by email or facsimile transmission, when that email or facsimile is sent.</w:t>
      </w:r>
    </w:p>
    <w:p w14:paraId="03604F9E"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br/>
      </w:r>
      <w:r w:rsidRPr="00F6391D">
        <w:rPr>
          <w:rFonts w:ascii="Arial" w:eastAsia="Times New Roman" w:hAnsi="Arial" w:cs="Arial"/>
          <w:color w:val="626262"/>
          <w:spacing w:val="4"/>
          <w:sz w:val="21"/>
          <w:szCs w:val="21"/>
          <w:lang w:eastAsia="en-GB"/>
        </w:rPr>
        <w:br/>
        <w:t> </w:t>
      </w:r>
    </w:p>
    <w:p w14:paraId="20DB0CAF" w14:textId="77777777" w:rsidR="00F6391D" w:rsidRPr="00F6391D" w:rsidRDefault="00F6391D" w:rsidP="00F6391D">
      <w:pPr>
        <w:numPr>
          <w:ilvl w:val="0"/>
          <w:numId w:val="44"/>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SEVERABILITY</w:t>
      </w:r>
    </w:p>
    <w:p w14:paraId="0E825677"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393BD23F"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If any of the provisions of these Terms shall be determined by any competent authority to be unenforceable to any extent, such provision shall, to that extent, be severed from the remaining terms, which shall continue to be valid to the fullest extent permitted by applicable laws.</w:t>
      </w:r>
    </w:p>
    <w:p w14:paraId="46FD8B82"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07DDE527" w14:textId="77777777" w:rsidR="00F6391D" w:rsidRPr="00F6391D" w:rsidRDefault="00F6391D" w:rsidP="00F6391D">
      <w:pPr>
        <w:numPr>
          <w:ilvl w:val="0"/>
          <w:numId w:val="45"/>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GOVERNING LAW AND JURISDICTION</w:t>
      </w:r>
    </w:p>
    <w:p w14:paraId="66ACC45C"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0CF5EA4C"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lastRenderedPageBreak/>
        <w:t>These Terms are governed by the law of England &amp; Wales and are subject to the exclusive jurisdiction of the Courts of England &amp; Wales.</w:t>
      </w:r>
    </w:p>
    <w:p w14:paraId="512A162A"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56A117B5"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SCHEDULE: FEE STRUCTURE (Clause 3.3)</w:t>
      </w:r>
    </w:p>
    <w:p w14:paraId="7D175B68"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1773"/>
        <w:gridCol w:w="822"/>
      </w:tblGrid>
      <w:tr w:rsidR="00F6391D" w:rsidRPr="00F6391D" w14:paraId="0BDC7F44" w14:textId="77777777" w:rsidTr="00F6391D">
        <w:tc>
          <w:tcPr>
            <w:tcW w:w="0" w:type="auto"/>
            <w:shd w:val="clear" w:color="auto" w:fill="auto"/>
            <w:tcMar>
              <w:top w:w="0" w:type="dxa"/>
              <w:left w:w="0" w:type="dxa"/>
              <w:bottom w:w="0" w:type="dxa"/>
              <w:right w:w="0" w:type="dxa"/>
            </w:tcMar>
            <w:vAlign w:val="center"/>
            <w:hideMark/>
          </w:tcPr>
          <w:p w14:paraId="041AB120"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Remuneration</w:t>
            </w:r>
          </w:p>
        </w:tc>
        <w:tc>
          <w:tcPr>
            <w:tcW w:w="0" w:type="auto"/>
            <w:shd w:val="clear" w:color="auto" w:fill="auto"/>
            <w:tcMar>
              <w:top w:w="0" w:type="dxa"/>
              <w:left w:w="0" w:type="dxa"/>
              <w:bottom w:w="0" w:type="dxa"/>
              <w:right w:w="0" w:type="dxa"/>
            </w:tcMar>
            <w:vAlign w:val="center"/>
            <w:hideMark/>
          </w:tcPr>
          <w:p w14:paraId="0F09D459"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Fee</w:t>
            </w:r>
          </w:p>
          <w:p w14:paraId="072404E5" w14:textId="77777777" w:rsidR="00F6391D" w:rsidRPr="00F6391D" w:rsidRDefault="00F6391D" w:rsidP="00F6391D">
            <w:pPr>
              <w:spacing w:after="300"/>
              <w:rPr>
                <w:rFonts w:ascii="Arial" w:eastAsia="Times New Roman" w:hAnsi="Arial" w:cs="Arial"/>
                <w:color w:val="626262"/>
                <w:spacing w:val="4"/>
                <w:sz w:val="21"/>
                <w:szCs w:val="21"/>
                <w:lang w:eastAsia="en-GB"/>
              </w:rPr>
            </w:pPr>
            <w:proofErr w:type="gramStart"/>
            <w:r w:rsidRPr="00F6391D">
              <w:rPr>
                <w:rFonts w:ascii="Arial" w:eastAsia="Times New Roman" w:hAnsi="Arial" w:cs="Arial"/>
                <w:b/>
                <w:bCs/>
                <w:color w:val="626262"/>
                <w:spacing w:val="4"/>
                <w:sz w:val="21"/>
                <w:szCs w:val="21"/>
                <w:lang w:eastAsia="en-GB"/>
              </w:rPr>
              <w:t>£  OR</w:t>
            </w:r>
            <w:proofErr w:type="gramEnd"/>
            <w:r w:rsidRPr="00F6391D">
              <w:rPr>
                <w:rFonts w:ascii="Arial" w:eastAsia="Times New Roman" w:hAnsi="Arial" w:cs="Arial"/>
                <w:b/>
                <w:bCs/>
                <w:color w:val="626262"/>
                <w:spacing w:val="4"/>
                <w:sz w:val="21"/>
                <w:szCs w:val="21"/>
                <w:lang w:eastAsia="en-GB"/>
              </w:rPr>
              <w:t xml:space="preserve"> %</w:t>
            </w:r>
          </w:p>
        </w:tc>
      </w:tr>
      <w:tr w:rsidR="00F6391D" w:rsidRPr="00F6391D" w14:paraId="6AEDC0C8" w14:textId="77777777" w:rsidTr="00F6391D">
        <w:tc>
          <w:tcPr>
            <w:tcW w:w="0" w:type="auto"/>
            <w:shd w:val="clear" w:color="auto" w:fill="auto"/>
            <w:tcMar>
              <w:top w:w="0" w:type="dxa"/>
              <w:left w:w="0" w:type="dxa"/>
              <w:bottom w:w="0" w:type="dxa"/>
              <w:right w:w="0" w:type="dxa"/>
            </w:tcMar>
            <w:vAlign w:val="center"/>
            <w:hideMark/>
          </w:tcPr>
          <w:p w14:paraId="250AFE6A" w14:textId="77777777" w:rsidR="00F6391D" w:rsidRPr="00F6391D" w:rsidRDefault="00F6391D" w:rsidP="00F6391D">
            <w:pPr>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tc>
        <w:tc>
          <w:tcPr>
            <w:tcW w:w="0" w:type="auto"/>
            <w:shd w:val="clear" w:color="auto" w:fill="auto"/>
            <w:tcMar>
              <w:top w:w="0" w:type="dxa"/>
              <w:left w:w="0" w:type="dxa"/>
              <w:bottom w:w="0" w:type="dxa"/>
              <w:right w:w="0" w:type="dxa"/>
            </w:tcMar>
            <w:vAlign w:val="center"/>
            <w:hideMark/>
          </w:tcPr>
          <w:p w14:paraId="31CEF084" w14:textId="77777777" w:rsidR="00F6391D" w:rsidRPr="00F6391D" w:rsidRDefault="00F6391D" w:rsidP="00F6391D">
            <w:pPr>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tc>
      </w:tr>
      <w:tr w:rsidR="00F6391D" w:rsidRPr="00F6391D" w14:paraId="3A61AE69" w14:textId="77777777" w:rsidTr="00F6391D">
        <w:tc>
          <w:tcPr>
            <w:tcW w:w="0" w:type="auto"/>
            <w:shd w:val="clear" w:color="auto" w:fill="auto"/>
            <w:tcMar>
              <w:top w:w="0" w:type="dxa"/>
              <w:left w:w="0" w:type="dxa"/>
              <w:bottom w:w="0" w:type="dxa"/>
              <w:right w:w="0" w:type="dxa"/>
            </w:tcMar>
            <w:vAlign w:val="center"/>
            <w:hideMark/>
          </w:tcPr>
          <w:p w14:paraId="3E09A7C6"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£0 - £33,999</w:t>
            </w:r>
          </w:p>
        </w:tc>
        <w:tc>
          <w:tcPr>
            <w:tcW w:w="0" w:type="auto"/>
            <w:shd w:val="clear" w:color="auto" w:fill="auto"/>
            <w:tcMar>
              <w:top w:w="0" w:type="dxa"/>
              <w:left w:w="0" w:type="dxa"/>
              <w:bottom w:w="0" w:type="dxa"/>
              <w:right w:w="0" w:type="dxa"/>
            </w:tcMar>
            <w:vAlign w:val="center"/>
            <w:hideMark/>
          </w:tcPr>
          <w:p w14:paraId="13763F28"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15%</w:t>
            </w:r>
          </w:p>
        </w:tc>
      </w:tr>
      <w:tr w:rsidR="00F6391D" w:rsidRPr="00F6391D" w14:paraId="7D32E960" w14:textId="77777777" w:rsidTr="00F6391D">
        <w:tc>
          <w:tcPr>
            <w:tcW w:w="0" w:type="auto"/>
            <w:shd w:val="clear" w:color="auto" w:fill="auto"/>
            <w:tcMar>
              <w:top w:w="0" w:type="dxa"/>
              <w:left w:w="0" w:type="dxa"/>
              <w:bottom w:w="0" w:type="dxa"/>
              <w:right w:w="0" w:type="dxa"/>
            </w:tcMar>
            <w:vAlign w:val="center"/>
            <w:hideMark/>
          </w:tcPr>
          <w:p w14:paraId="506CB38E"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£34,000 - £40,999</w:t>
            </w:r>
          </w:p>
        </w:tc>
        <w:tc>
          <w:tcPr>
            <w:tcW w:w="0" w:type="auto"/>
            <w:shd w:val="clear" w:color="auto" w:fill="auto"/>
            <w:tcMar>
              <w:top w:w="0" w:type="dxa"/>
              <w:left w:w="0" w:type="dxa"/>
              <w:bottom w:w="0" w:type="dxa"/>
              <w:right w:w="0" w:type="dxa"/>
            </w:tcMar>
            <w:vAlign w:val="center"/>
            <w:hideMark/>
          </w:tcPr>
          <w:p w14:paraId="75313E60" w14:textId="375D2A61" w:rsidR="00F6391D" w:rsidRPr="00F6391D" w:rsidRDefault="00E9026F" w:rsidP="00F6391D">
            <w:pPr>
              <w:spacing w:after="300"/>
              <w:rPr>
                <w:rFonts w:ascii="Arial" w:eastAsia="Times New Roman" w:hAnsi="Arial" w:cs="Arial"/>
                <w:color w:val="626262"/>
                <w:spacing w:val="4"/>
                <w:sz w:val="21"/>
                <w:szCs w:val="21"/>
                <w:lang w:eastAsia="en-GB"/>
              </w:rPr>
            </w:pPr>
            <w:r>
              <w:rPr>
                <w:rFonts w:ascii="Arial" w:eastAsia="Times New Roman" w:hAnsi="Arial" w:cs="Arial"/>
                <w:b/>
                <w:bCs/>
                <w:color w:val="626262"/>
                <w:spacing w:val="4"/>
                <w:sz w:val="21"/>
                <w:szCs w:val="21"/>
                <w:lang w:eastAsia="en-GB"/>
              </w:rPr>
              <w:t xml:space="preserve"> </w:t>
            </w:r>
            <w:r w:rsidR="00F6391D" w:rsidRPr="00F6391D">
              <w:rPr>
                <w:rFonts w:ascii="Arial" w:eastAsia="Times New Roman" w:hAnsi="Arial" w:cs="Arial"/>
                <w:b/>
                <w:bCs/>
                <w:color w:val="626262"/>
                <w:spacing w:val="4"/>
                <w:sz w:val="21"/>
                <w:szCs w:val="21"/>
                <w:lang w:eastAsia="en-GB"/>
              </w:rPr>
              <w:t>17.5%</w:t>
            </w:r>
          </w:p>
        </w:tc>
      </w:tr>
      <w:tr w:rsidR="00F6391D" w:rsidRPr="00F6391D" w14:paraId="02C42ECE" w14:textId="77777777" w:rsidTr="00F6391D">
        <w:tc>
          <w:tcPr>
            <w:tcW w:w="0" w:type="auto"/>
            <w:shd w:val="clear" w:color="auto" w:fill="auto"/>
            <w:tcMar>
              <w:top w:w="0" w:type="dxa"/>
              <w:left w:w="0" w:type="dxa"/>
              <w:bottom w:w="0" w:type="dxa"/>
              <w:right w:w="0" w:type="dxa"/>
            </w:tcMar>
            <w:vAlign w:val="center"/>
            <w:hideMark/>
          </w:tcPr>
          <w:p w14:paraId="252FF57F"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£41,000 - £47,999</w:t>
            </w:r>
          </w:p>
          <w:p w14:paraId="3BE9D916"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£48,000 - £55,999</w:t>
            </w:r>
          </w:p>
          <w:p w14:paraId="1539F391"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£56,000 +</w:t>
            </w:r>
          </w:p>
        </w:tc>
        <w:tc>
          <w:tcPr>
            <w:tcW w:w="0" w:type="auto"/>
            <w:shd w:val="clear" w:color="auto" w:fill="auto"/>
            <w:tcMar>
              <w:top w:w="0" w:type="dxa"/>
              <w:left w:w="0" w:type="dxa"/>
              <w:bottom w:w="0" w:type="dxa"/>
              <w:right w:w="0" w:type="dxa"/>
            </w:tcMar>
            <w:vAlign w:val="center"/>
            <w:hideMark/>
          </w:tcPr>
          <w:p w14:paraId="6B41BB98" w14:textId="61F96323" w:rsidR="00F6391D" w:rsidRPr="00F6391D" w:rsidRDefault="00E9026F" w:rsidP="00F6391D">
            <w:pPr>
              <w:spacing w:after="300"/>
              <w:rPr>
                <w:rFonts w:ascii="Arial" w:eastAsia="Times New Roman" w:hAnsi="Arial" w:cs="Arial"/>
                <w:color w:val="626262"/>
                <w:spacing w:val="4"/>
                <w:sz w:val="21"/>
                <w:szCs w:val="21"/>
                <w:lang w:eastAsia="en-GB"/>
              </w:rPr>
            </w:pPr>
            <w:r>
              <w:rPr>
                <w:rFonts w:ascii="Arial" w:eastAsia="Times New Roman" w:hAnsi="Arial" w:cs="Arial"/>
                <w:b/>
                <w:bCs/>
                <w:color w:val="626262"/>
                <w:spacing w:val="4"/>
                <w:sz w:val="21"/>
                <w:szCs w:val="21"/>
                <w:lang w:eastAsia="en-GB"/>
              </w:rPr>
              <w:t xml:space="preserve"> </w:t>
            </w:r>
            <w:r w:rsidR="00F6391D" w:rsidRPr="00F6391D">
              <w:rPr>
                <w:rFonts w:ascii="Arial" w:eastAsia="Times New Roman" w:hAnsi="Arial" w:cs="Arial"/>
                <w:b/>
                <w:bCs/>
                <w:color w:val="626262"/>
                <w:spacing w:val="4"/>
                <w:sz w:val="21"/>
                <w:szCs w:val="21"/>
                <w:lang w:eastAsia="en-GB"/>
              </w:rPr>
              <w:t>20%</w:t>
            </w:r>
          </w:p>
          <w:p w14:paraId="53C69FB8" w14:textId="35E7A1F7" w:rsidR="00F6391D" w:rsidRPr="00F6391D" w:rsidRDefault="00E9026F" w:rsidP="00F6391D">
            <w:pPr>
              <w:spacing w:after="300"/>
              <w:rPr>
                <w:rFonts w:ascii="Arial" w:eastAsia="Times New Roman" w:hAnsi="Arial" w:cs="Arial"/>
                <w:color w:val="626262"/>
                <w:spacing w:val="4"/>
                <w:sz w:val="21"/>
                <w:szCs w:val="21"/>
                <w:lang w:eastAsia="en-GB"/>
              </w:rPr>
            </w:pPr>
            <w:r>
              <w:rPr>
                <w:rFonts w:ascii="Arial" w:eastAsia="Times New Roman" w:hAnsi="Arial" w:cs="Arial"/>
                <w:b/>
                <w:bCs/>
                <w:color w:val="626262"/>
                <w:spacing w:val="4"/>
                <w:sz w:val="21"/>
                <w:szCs w:val="21"/>
                <w:lang w:eastAsia="en-GB"/>
              </w:rPr>
              <w:t xml:space="preserve"> </w:t>
            </w:r>
            <w:r w:rsidR="00F6391D" w:rsidRPr="00F6391D">
              <w:rPr>
                <w:rFonts w:ascii="Arial" w:eastAsia="Times New Roman" w:hAnsi="Arial" w:cs="Arial"/>
                <w:b/>
                <w:bCs/>
                <w:color w:val="626262"/>
                <w:spacing w:val="4"/>
                <w:sz w:val="21"/>
                <w:szCs w:val="21"/>
                <w:lang w:eastAsia="en-GB"/>
              </w:rPr>
              <w:t>22.5%</w:t>
            </w:r>
          </w:p>
          <w:p w14:paraId="05EA2619"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25%</w:t>
            </w:r>
          </w:p>
        </w:tc>
      </w:tr>
      <w:tr w:rsidR="00F6391D" w:rsidRPr="00F6391D" w14:paraId="12A90D58" w14:textId="77777777" w:rsidTr="00F6391D">
        <w:tc>
          <w:tcPr>
            <w:tcW w:w="0" w:type="auto"/>
            <w:shd w:val="clear" w:color="auto" w:fill="auto"/>
            <w:tcMar>
              <w:top w:w="0" w:type="dxa"/>
              <w:left w:w="0" w:type="dxa"/>
              <w:bottom w:w="0" w:type="dxa"/>
              <w:right w:w="0" w:type="dxa"/>
            </w:tcMar>
            <w:vAlign w:val="center"/>
            <w:hideMark/>
          </w:tcPr>
          <w:p w14:paraId="3B443E46" w14:textId="77777777" w:rsidR="00F6391D" w:rsidRPr="00F6391D" w:rsidRDefault="00F6391D" w:rsidP="00F6391D">
            <w:pPr>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tc>
        <w:tc>
          <w:tcPr>
            <w:tcW w:w="0" w:type="auto"/>
            <w:shd w:val="clear" w:color="auto" w:fill="auto"/>
            <w:tcMar>
              <w:top w:w="0" w:type="dxa"/>
              <w:left w:w="0" w:type="dxa"/>
              <w:bottom w:w="0" w:type="dxa"/>
              <w:right w:w="0" w:type="dxa"/>
            </w:tcMar>
            <w:vAlign w:val="center"/>
            <w:hideMark/>
          </w:tcPr>
          <w:p w14:paraId="4415C811" w14:textId="77777777" w:rsidR="00F6391D" w:rsidRPr="00F6391D" w:rsidRDefault="00F6391D" w:rsidP="00F6391D">
            <w:pPr>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tc>
      </w:tr>
    </w:tbl>
    <w:p w14:paraId="7A71A249"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746BC8FF"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SCHEDULE: SCALE OF REFUND (Clause 4.1)</w:t>
      </w:r>
    </w:p>
    <w:p w14:paraId="660ACFDA"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47D4C9B8" w14:textId="77777777" w:rsidR="00F6391D" w:rsidRPr="00F6391D" w:rsidRDefault="00F6391D" w:rsidP="00F6391D">
      <w:pPr>
        <w:numPr>
          <w:ilvl w:val="0"/>
          <w:numId w:val="46"/>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 following scale of refund only applies in the event that the Client complies with the provisions of clauses 3.1, 4.1 and 4.2 of these Terms.</w:t>
      </w:r>
    </w:p>
    <w:p w14:paraId="494B646C"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6C584F22" w14:textId="77777777" w:rsidR="00F6391D" w:rsidRPr="00F6391D" w:rsidRDefault="00F6391D" w:rsidP="00F6391D">
      <w:pPr>
        <w:numPr>
          <w:ilvl w:val="0"/>
          <w:numId w:val="47"/>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Where the Candidate ceases working for the Client during the first 12 weeks of the Engagement (except where the Candidate is or will be made redundant) or fails to commence an Engagement, except in the circumstances set out in clause 3.10, a refund of the Introduction Fee shall be paid to the Client in accordance with the scale set out below, subject to the conditions in clause 4.1 and 4.2.</w:t>
      </w:r>
    </w:p>
    <w:p w14:paraId="12E0CBA2"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4234"/>
        <w:gridCol w:w="2173"/>
      </w:tblGrid>
      <w:tr w:rsidR="00F6391D" w:rsidRPr="00F6391D" w14:paraId="1DDEF260" w14:textId="77777777" w:rsidTr="00F6391D">
        <w:tc>
          <w:tcPr>
            <w:tcW w:w="0" w:type="auto"/>
            <w:shd w:val="clear" w:color="auto" w:fill="auto"/>
            <w:tcMar>
              <w:top w:w="0" w:type="dxa"/>
              <w:left w:w="0" w:type="dxa"/>
              <w:bottom w:w="0" w:type="dxa"/>
              <w:right w:w="0" w:type="dxa"/>
            </w:tcMar>
            <w:vAlign w:val="center"/>
            <w:hideMark/>
          </w:tcPr>
          <w:p w14:paraId="54F0B821"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Week in which the Engagement</w:t>
            </w:r>
          </w:p>
          <w:p w14:paraId="31D49F42"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terminates in accordance with clause 4.2</w:t>
            </w:r>
          </w:p>
        </w:tc>
        <w:tc>
          <w:tcPr>
            <w:tcW w:w="0" w:type="auto"/>
            <w:shd w:val="clear" w:color="auto" w:fill="auto"/>
            <w:tcMar>
              <w:top w:w="0" w:type="dxa"/>
              <w:left w:w="0" w:type="dxa"/>
              <w:bottom w:w="0" w:type="dxa"/>
              <w:right w:w="0" w:type="dxa"/>
            </w:tcMar>
            <w:vAlign w:val="center"/>
            <w:hideMark/>
          </w:tcPr>
          <w:p w14:paraId="44EE7594"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 of introduction fee</w:t>
            </w:r>
          </w:p>
          <w:p w14:paraId="0B217700"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refunded</w:t>
            </w:r>
          </w:p>
        </w:tc>
      </w:tr>
      <w:tr w:rsidR="00F6391D" w:rsidRPr="00F6391D" w14:paraId="07E57E88" w14:textId="77777777" w:rsidTr="00F6391D">
        <w:tc>
          <w:tcPr>
            <w:tcW w:w="0" w:type="auto"/>
            <w:shd w:val="clear" w:color="auto" w:fill="auto"/>
            <w:tcMar>
              <w:top w:w="0" w:type="dxa"/>
              <w:left w:w="0" w:type="dxa"/>
              <w:bottom w:w="0" w:type="dxa"/>
              <w:right w:w="0" w:type="dxa"/>
            </w:tcMar>
            <w:vAlign w:val="center"/>
            <w:hideMark/>
          </w:tcPr>
          <w:p w14:paraId="0D050945"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Non-commencement – 1 weeks</w:t>
            </w:r>
          </w:p>
        </w:tc>
        <w:tc>
          <w:tcPr>
            <w:tcW w:w="0" w:type="auto"/>
            <w:shd w:val="clear" w:color="auto" w:fill="auto"/>
            <w:tcMar>
              <w:top w:w="0" w:type="dxa"/>
              <w:left w:w="0" w:type="dxa"/>
              <w:bottom w:w="0" w:type="dxa"/>
              <w:right w:w="0" w:type="dxa"/>
            </w:tcMar>
            <w:vAlign w:val="center"/>
            <w:hideMark/>
          </w:tcPr>
          <w:p w14:paraId="15415EFB"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100%</w:t>
            </w:r>
          </w:p>
        </w:tc>
      </w:tr>
      <w:tr w:rsidR="00F6391D" w:rsidRPr="00F6391D" w14:paraId="55F47A31" w14:textId="77777777" w:rsidTr="00F6391D">
        <w:tc>
          <w:tcPr>
            <w:tcW w:w="0" w:type="auto"/>
            <w:shd w:val="clear" w:color="auto" w:fill="auto"/>
            <w:tcMar>
              <w:top w:w="0" w:type="dxa"/>
              <w:left w:w="0" w:type="dxa"/>
              <w:bottom w:w="0" w:type="dxa"/>
              <w:right w:w="0" w:type="dxa"/>
            </w:tcMar>
            <w:vAlign w:val="center"/>
            <w:hideMark/>
          </w:tcPr>
          <w:p w14:paraId="0A33D57E" w14:textId="77777777" w:rsidR="00F6391D" w:rsidRPr="00F6391D" w:rsidRDefault="00F6391D" w:rsidP="00F6391D">
            <w:pPr>
              <w:spacing w:after="300"/>
              <w:rPr>
                <w:rFonts w:ascii="Arial" w:eastAsia="Times New Roman" w:hAnsi="Arial" w:cs="Arial"/>
                <w:color w:val="626262"/>
                <w:spacing w:val="4"/>
                <w:sz w:val="21"/>
                <w:szCs w:val="21"/>
                <w:lang w:eastAsia="en-GB"/>
              </w:rPr>
            </w:pPr>
            <w:proofErr w:type="gramStart"/>
            <w:r w:rsidRPr="00F6391D">
              <w:rPr>
                <w:rFonts w:ascii="Arial" w:eastAsia="Times New Roman" w:hAnsi="Arial" w:cs="Arial"/>
                <w:b/>
                <w:bCs/>
                <w:color w:val="626262"/>
                <w:spacing w:val="4"/>
                <w:sz w:val="21"/>
                <w:szCs w:val="21"/>
                <w:lang w:eastAsia="en-GB"/>
              </w:rPr>
              <w:lastRenderedPageBreak/>
              <w:t>Over  1</w:t>
            </w:r>
            <w:proofErr w:type="gramEnd"/>
            <w:r w:rsidRPr="00F6391D">
              <w:rPr>
                <w:rFonts w:ascii="Arial" w:eastAsia="Times New Roman" w:hAnsi="Arial" w:cs="Arial"/>
                <w:b/>
                <w:bCs/>
                <w:color w:val="626262"/>
                <w:spacing w:val="4"/>
                <w:sz w:val="21"/>
                <w:szCs w:val="21"/>
                <w:lang w:eastAsia="en-GB"/>
              </w:rPr>
              <w:t xml:space="preserve"> weeks and up to 4 weeks</w:t>
            </w:r>
          </w:p>
        </w:tc>
        <w:tc>
          <w:tcPr>
            <w:tcW w:w="0" w:type="auto"/>
            <w:shd w:val="clear" w:color="auto" w:fill="auto"/>
            <w:tcMar>
              <w:top w:w="0" w:type="dxa"/>
              <w:left w:w="0" w:type="dxa"/>
              <w:bottom w:w="0" w:type="dxa"/>
              <w:right w:w="0" w:type="dxa"/>
            </w:tcMar>
            <w:vAlign w:val="center"/>
            <w:hideMark/>
          </w:tcPr>
          <w:p w14:paraId="0191EB17"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70%</w:t>
            </w:r>
          </w:p>
        </w:tc>
      </w:tr>
      <w:tr w:rsidR="00F6391D" w:rsidRPr="00F6391D" w14:paraId="30AC8B2F" w14:textId="77777777" w:rsidTr="00F6391D">
        <w:tc>
          <w:tcPr>
            <w:tcW w:w="0" w:type="auto"/>
            <w:shd w:val="clear" w:color="auto" w:fill="auto"/>
            <w:tcMar>
              <w:top w:w="0" w:type="dxa"/>
              <w:left w:w="0" w:type="dxa"/>
              <w:bottom w:w="0" w:type="dxa"/>
              <w:right w:w="0" w:type="dxa"/>
            </w:tcMar>
            <w:vAlign w:val="center"/>
            <w:hideMark/>
          </w:tcPr>
          <w:p w14:paraId="1F00836B" w14:textId="77777777" w:rsidR="00F6391D" w:rsidRPr="00F6391D" w:rsidRDefault="00F6391D" w:rsidP="00F6391D">
            <w:pPr>
              <w:spacing w:after="300"/>
              <w:rPr>
                <w:rFonts w:ascii="Arial" w:eastAsia="Times New Roman" w:hAnsi="Arial" w:cs="Arial"/>
                <w:color w:val="626262"/>
                <w:spacing w:val="4"/>
                <w:sz w:val="21"/>
                <w:szCs w:val="21"/>
                <w:lang w:eastAsia="en-GB"/>
              </w:rPr>
            </w:pPr>
            <w:proofErr w:type="gramStart"/>
            <w:r w:rsidRPr="00F6391D">
              <w:rPr>
                <w:rFonts w:ascii="Arial" w:eastAsia="Times New Roman" w:hAnsi="Arial" w:cs="Arial"/>
                <w:b/>
                <w:bCs/>
                <w:color w:val="626262"/>
                <w:spacing w:val="4"/>
                <w:sz w:val="21"/>
                <w:szCs w:val="21"/>
                <w:lang w:eastAsia="en-GB"/>
              </w:rPr>
              <w:t>Over  4</w:t>
            </w:r>
            <w:proofErr w:type="gramEnd"/>
            <w:r w:rsidRPr="00F6391D">
              <w:rPr>
                <w:rFonts w:ascii="Arial" w:eastAsia="Times New Roman" w:hAnsi="Arial" w:cs="Arial"/>
                <w:b/>
                <w:bCs/>
                <w:color w:val="626262"/>
                <w:spacing w:val="4"/>
                <w:sz w:val="21"/>
                <w:szCs w:val="21"/>
                <w:lang w:eastAsia="en-GB"/>
              </w:rPr>
              <w:t xml:space="preserve"> weeks and up to 7 weeks</w:t>
            </w:r>
          </w:p>
        </w:tc>
        <w:tc>
          <w:tcPr>
            <w:tcW w:w="0" w:type="auto"/>
            <w:shd w:val="clear" w:color="auto" w:fill="auto"/>
            <w:tcMar>
              <w:top w:w="0" w:type="dxa"/>
              <w:left w:w="0" w:type="dxa"/>
              <w:bottom w:w="0" w:type="dxa"/>
              <w:right w:w="0" w:type="dxa"/>
            </w:tcMar>
            <w:vAlign w:val="center"/>
            <w:hideMark/>
          </w:tcPr>
          <w:p w14:paraId="71BE6819"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40%</w:t>
            </w:r>
          </w:p>
        </w:tc>
      </w:tr>
      <w:tr w:rsidR="00F6391D" w:rsidRPr="00F6391D" w14:paraId="09352FB1" w14:textId="77777777" w:rsidTr="00F6391D">
        <w:tc>
          <w:tcPr>
            <w:tcW w:w="0" w:type="auto"/>
            <w:shd w:val="clear" w:color="auto" w:fill="auto"/>
            <w:tcMar>
              <w:top w:w="0" w:type="dxa"/>
              <w:left w:w="0" w:type="dxa"/>
              <w:bottom w:w="0" w:type="dxa"/>
              <w:right w:w="0" w:type="dxa"/>
            </w:tcMar>
            <w:vAlign w:val="center"/>
            <w:hideMark/>
          </w:tcPr>
          <w:p w14:paraId="6664468A" w14:textId="77777777" w:rsidR="00F6391D" w:rsidRPr="00F6391D" w:rsidRDefault="00F6391D" w:rsidP="00F6391D">
            <w:pPr>
              <w:spacing w:after="300"/>
              <w:rPr>
                <w:rFonts w:ascii="Arial" w:eastAsia="Times New Roman" w:hAnsi="Arial" w:cs="Arial"/>
                <w:color w:val="626262"/>
                <w:spacing w:val="4"/>
                <w:sz w:val="21"/>
                <w:szCs w:val="21"/>
                <w:lang w:eastAsia="en-GB"/>
              </w:rPr>
            </w:pPr>
            <w:proofErr w:type="gramStart"/>
            <w:r w:rsidRPr="00F6391D">
              <w:rPr>
                <w:rFonts w:ascii="Arial" w:eastAsia="Times New Roman" w:hAnsi="Arial" w:cs="Arial"/>
                <w:b/>
                <w:bCs/>
                <w:color w:val="626262"/>
                <w:spacing w:val="4"/>
                <w:sz w:val="21"/>
                <w:szCs w:val="21"/>
                <w:lang w:eastAsia="en-GB"/>
              </w:rPr>
              <w:t>Over  7</w:t>
            </w:r>
            <w:proofErr w:type="gramEnd"/>
            <w:r w:rsidRPr="00F6391D">
              <w:rPr>
                <w:rFonts w:ascii="Arial" w:eastAsia="Times New Roman" w:hAnsi="Arial" w:cs="Arial"/>
                <w:b/>
                <w:bCs/>
                <w:color w:val="626262"/>
                <w:spacing w:val="4"/>
                <w:sz w:val="21"/>
                <w:szCs w:val="21"/>
                <w:lang w:eastAsia="en-GB"/>
              </w:rPr>
              <w:t xml:space="preserve"> weeks and up to 10 weeks</w:t>
            </w:r>
          </w:p>
          <w:p w14:paraId="2FF30C60" w14:textId="77777777" w:rsidR="00F6391D" w:rsidRPr="00F6391D" w:rsidRDefault="00F6391D" w:rsidP="00F6391D">
            <w:pPr>
              <w:spacing w:after="300"/>
              <w:rPr>
                <w:rFonts w:ascii="Arial" w:eastAsia="Times New Roman" w:hAnsi="Arial" w:cs="Arial"/>
                <w:color w:val="626262"/>
                <w:spacing w:val="4"/>
                <w:sz w:val="21"/>
                <w:szCs w:val="21"/>
                <w:lang w:eastAsia="en-GB"/>
              </w:rPr>
            </w:pPr>
            <w:proofErr w:type="gramStart"/>
            <w:r w:rsidRPr="00F6391D">
              <w:rPr>
                <w:rFonts w:ascii="Arial" w:eastAsia="Times New Roman" w:hAnsi="Arial" w:cs="Arial"/>
                <w:b/>
                <w:bCs/>
                <w:color w:val="626262"/>
                <w:spacing w:val="4"/>
                <w:sz w:val="21"/>
                <w:szCs w:val="21"/>
                <w:lang w:eastAsia="en-GB"/>
              </w:rPr>
              <w:t>Over  10</w:t>
            </w:r>
            <w:proofErr w:type="gramEnd"/>
            <w:r w:rsidRPr="00F6391D">
              <w:rPr>
                <w:rFonts w:ascii="Arial" w:eastAsia="Times New Roman" w:hAnsi="Arial" w:cs="Arial"/>
                <w:b/>
                <w:bCs/>
                <w:color w:val="626262"/>
                <w:spacing w:val="4"/>
                <w:sz w:val="21"/>
                <w:szCs w:val="21"/>
                <w:lang w:eastAsia="en-GB"/>
              </w:rPr>
              <w:t xml:space="preserve"> weeks</w:t>
            </w:r>
          </w:p>
        </w:tc>
        <w:tc>
          <w:tcPr>
            <w:tcW w:w="0" w:type="auto"/>
            <w:shd w:val="clear" w:color="auto" w:fill="auto"/>
            <w:tcMar>
              <w:top w:w="0" w:type="dxa"/>
              <w:left w:w="0" w:type="dxa"/>
              <w:bottom w:w="0" w:type="dxa"/>
              <w:right w:w="0" w:type="dxa"/>
            </w:tcMar>
            <w:vAlign w:val="center"/>
            <w:hideMark/>
          </w:tcPr>
          <w:p w14:paraId="1A2E9C77"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15%</w:t>
            </w:r>
            <w:r w:rsidRPr="00F6391D">
              <w:rPr>
                <w:rFonts w:ascii="Arial" w:eastAsia="Times New Roman" w:hAnsi="Arial" w:cs="Arial"/>
                <w:b/>
                <w:bCs/>
                <w:color w:val="626262"/>
                <w:spacing w:val="4"/>
                <w:sz w:val="21"/>
                <w:szCs w:val="21"/>
                <w:lang w:eastAsia="en-GB"/>
              </w:rPr>
              <w:br/>
              <w:t>Nil</w:t>
            </w:r>
          </w:p>
        </w:tc>
      </w:tr>
      <w:tr w:rsidR="00F6391D" w:rsidRPr="00F6391D" w14:paraId="259AAD8D" w14:textId="77777777" w:rsidTr="00F6391D">
        <w:tc>
          <w:tcPr>
            <w:tcW w:w="0" w:type="auto"/>
            <w:shd w:val="clear" w:color="auto" w:fill="auto"/>
            <w:tcMar>
              <w:top w:w="0" w:type="dxa"/>
              <w:left w:w="0" w:type="dxa"/>
              <w:bottom w:w="0" w:type="dxa"/>
              <w:right w:w="0" w:type="dxa"/>
            </w:tcMar>
            <w:vAlign w:val="center"/>
            <w:hideMark/>
          </w:tcPr>
          <w:p w14:paraId="58733E17" w14:textId="77777777" w:rsidR="00F6391D" w:rsidRPr="00F6391D" w:rsidRDefault="00F6391D" w:rsidP="00F6391D">
            <w:pPr>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tc>
        <w:tc>
          <w:tcPr>
            <w:tcW w:w="0" w:type="auto"/>
            <w:shd w:val="clear" w:color="auto" w:fill="auto"/>
            <w:tcMar>
              <w:top w:w="0" w:type="dxa"/>
              <w:left w:w="0" w:type="dxa"/>
              <w:bottom w:w="0" w:type="dxa"/>
              <w:right w:w="0" w:type="dxa"/>
            </w:tcMar>
            <w:vAlign w:val="center"/>
            <w:hideMark/>
          </w:tcPr>
          <w:p w14:paraId="5821D950" w14:textId="77777777" w:rsidR="00F6391D" w:rsidRPr="00F6391D" w:rsidRDefault="00F6391D" w:rsidP="00F6391D">
            <w:pPr>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tc>
      </w:tr>
    </w:tbl>
    <w:p w14:paraId="3A00CBBF"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br/>
        <w:t> </w:t>
      </w:r>
    </w:p>
    <w:p w14:paraId="4B9529D7" w14:textId="77777777" w:rsidR="00F6391D" w:rsidRPr="00F6391D" w:rsidRDefault="00F6391D" w:rsidP="00F6391D">
      <w:pPr>
        <w:numPr>
          <w:ilvl w:val="0"/>
          <w:numId w:val="48"/>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No refund or suitable replacement will be provided if the invoice has not been paid within 30 days of issue date.</w:t>
      </w:r>
    </w:p>
    <w:p w14:paraId="3472F393" w14:textId="77777777" w:rsidR="00F6391D" w:rsidRPr="00F6391D" w:rsidRDefault="00F6391D" w:rsidP="00F6391D">
      <w:pPr>
        <w:numPr>
          <w:ilvl w:val="0"/>
          <w:numId w:val="48"/>
        </w:numPr>
        <w:spacing w:after="300"/>
        <w:rPr>
          <w:rFonts w:ascii="Arial" w:eastAsia="Times New Roman" w:hAnsi="Arial" w:cs="Arial"/>
          <w:color w:val="626262"/>
          <w:spacing w:val="4"/>
          <w:sz w:val="21"/>
          <w:szCs w:val="21"/>
          <w:lang w:eastAsia="en-GB"/>
        </w:rPr>
      </w:pPr>
      <w:r w:rsidRPr="00F6391D">
        <w:rPr>
          <w:rFonts w:ascii="Arial" w:eastAsia="Times New Roman" w:hAnsi="Arial" w:cs="Arial"/>
          <w:b/>
          <w:bCs/>
          <w:color w:val="626262"/>
          <w:spacing w:val="4"/>
          <w:sz w:val="21"/>
          <w:szCs w:val="21"/>
          <w:lang w:eastAsia="en-GB"/>
        </w:rPr>
        <w:t>There will be no refund where the Candidate’s Engagement is terminated (or the Engagement would have terminated but for any period of garden leave or payment in lieu of notice) during or after the 10th week of the Engagement.</w:t>
      </w:r>
    </w:p>
    <w:p w14:paraId="38F71968" w14:textId="77777777" w:rsidR="00F6391D" w:rsidRPr="00F6391D" w:rsidRDefault="00F6391D" w:rsidP="00F6391D">
      <w:pPr>
        <w:spacing w:after="300"/>
        <w:rPr>
          <w:rFonts w:ascii="Arial" w:eastAsia="Times New Roman" w:hAnsi="Arial" w:cs="Arial"/>
          <w:color w:val="626262"/>
          <w:spacing w:val="4"/>
          <w:sz w:val="21"/>
          <w:szCs w:val="21"/>
          <w:lang w:eastAsia="en-GB"/>
        </w:rPr>
      </w:pPr>
      <w:r w:rsidRPr="00F6391D">
        <w:rPr>
          <w:rFonts w:ascii="Arial" w:eastAsia="Times New Roman" w:hAnsi="Arial" w:cs="Arial"/>
          <w:color w:val="626262"/>
          <w:spacing w:val="4"/>
          <w:sz w:val="21"/>
          <w:szCs w:val="21"/>
          <w:lang w:eastAsia="en-GB"/>
        </w:rPr>
        <w:t> </w:t>
      </w:r>
    </w:p>
    <w:p w14:paraId="440FE072" w14:textId="77777777" w:rsidR="005D1BAE" w:rsidRDefault="00C577AF"/>
    <w:sectPr w:rsidR="005D1BAE" w:rsidSect="009157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71417"/>
    <w:multiLevelType w:val="multilevel"/>
    <w:tmpl w:val="EC762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252DE"/>
    <w:multiLevelType w:val="multilevel"/>
    <w:tmpl w:val="C85A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456C5"/>
    <w:multiLevelType w:val="multilevel"/>
    <w:tmpl w:val="03B80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812B3"/>
    <w:multiLevelType w:val="multilevel"/>
    <w:tmpl w:val="205CAA0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26FB6"/>
    <w:multiLevelType w:val="multilevel"/>
    <w:tmpl w:val="C704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40554"/>
    <w:multiLevelType w:val="multilevel"/>
    <w:tmpl w:val="18106F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90C12"/>
    <w:multiLevelType w:val="multilevel"/>
    <w:tmpl w:val="99E2FF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83AB2"/>
    <w:multiLevelType w:val="multilevel"/>
    <w:tmpl w:val="0BD428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74EF7"/>
    <w:multiLevelType w:val="multilevel"/>
    <w:tmpl w:val="4BAC5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E08BA"/>
    <w:multiLevelType w:val="multilevel"/>
    <w:tmpl w:val="F2BCB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F0BFC"/>
    <w:multiLevelType w:val="multilevel"/>
    <w:tmpl w:val="E8A481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019F4"/>
    <w:multiLevelType w:val="multilevel"/>
    <w:tmpl w:val="D2B88D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E517C"/>
    <w:multiLevelType w:val="multilevel"/>
    <w:tmpl w:val="93EA1F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F41F5C"/>
    <w:multiLevelType w:val="multilevel"/>
    <w:tmpl w:val="98601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081094"/>
    <w:multiLevelType w:val="multilevel"/>
    <w:tmpl w:val="7B085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35421"/>
    <w:multiLevelType w:val="multilevel"/>
    <w:tmpl w:val="8A52EE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B3EA4"/>
    <w:multiLevelType w:val="multilevel"/>
    <w:tmpl w:val="D1C03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75E07"/>
    <w:multiLevelType w:val="multilevel"/>
    <w:tmpl w:val="12442B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90724C"/>
    <w:multiLevelType w:val="multilevel"/>
    <w:tmpl w:val="28C68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AC4D4E"/>
    <w:multiLevelType w:val="multilevel"/>
    <w:tmpl w:val="E47CEB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12F85"/>
    <w:multiLevelType w:val="multilevel"/>
    <w:tmpl w:val="770C80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365038"/>
    <w:multiLevelType w:val="multilevel"/>
    <w:tmpl w:val="5F42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6A7F70"/>
    <w:multiLevelType w:val="multilevel"/>
    <w:tmpl w:val="7FE260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150A30"/>
    <w:multiLevelType w:val="multilevel"/>
    <w:tmpl w:val="EA2634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ED65DF"/>
    <w:multiLevelType w:val="multilevel"/>
    <w:tmpl w:val="D17AEB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047FEE"/>
    <w:multiLevelType w:val="multilevel"/>
    <w:tmpl w:val="4FC81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B66ED1"/>
    <w:multiLevelType w:val="multilevel"/>
    <w:tmpl w:val="3E280A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7149C9"/>
    <w:multiLevelType w:val="multilevel"/>
    <w:tmpl w:val="F0187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983D32"/>
    <w:multiLevelType w:val="multilevel"/>
    <w:tmpl w:val="ADCA8F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D17368"/>
    <w:multiLevelType w:val="multilevel"/>
    <w:tmpl w:val="45486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E60B5D"/>
    <w:multiLevelType w:val="multilevel"/>
    <w:tmpl w:val="1CAC3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1C1D34"/>
    <w:multiLevelType w:val="multilevel"/>
    <w:tmpl w:val="3B7C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8250F3"/>
    <w:multiLevelType w:val="multilevel"/>
    <w:tmpl w:val="A04E3E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0859B2"/>
    <w:multiLevelType w:val="multilevel"/>
    <w:tmpl w:val="8E5AB9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484F48"/>
    <w:multiLevelType w:val="multilevel"/>
    <w:tmpl w:val="8474F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CA303C"/>
    <w:multiLevelType w:val="multilevel"/>
    <w:tmpl w:val="58B6C3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E4328"/>
    <w:multiLevelType w:val="multilevel"/>
    <w:tmpl w:val="2F3A1E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6A27E5"/>
    <w:multiLevelType w:val="multilevel"/>
    <w:tmpl w:val="62A8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D669B1"/>
    <w:multiLevelType w:val="multilevel"/>
    <w:tmpl w:val="010A47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BF78F2"/>
    <w:multiLevelType w:val="multilevel"/>
    <w:tmpl w:val="3AF41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9358CD"/>
    <w:multiLevelType w:val="multilevel"/>
    <w:tmpl w:val="E6D4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B2467"/>
    <w:multiLevelType w:val="multilevel"/>
    <w:tmpl w:val="715406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85204C"/>
    <w:multiLevelType w:val="multilevel"/>
    <w:tmpl w:val="78D4FD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207169"/>
    <w:multiLevelType w:val="multilevel"/>
    <w:tmpl w:val="2F24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2E01AB"/>
    <w:multiLevelType w:val="multilevel"/>
    <w:tmpl w:val="6022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7C60EB"/>
    <w:multiLevelType w:val="multilevel"/>
    <w:tmpl w:val="BF28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2A71C1"/>
    <w:multiLevelType w:val="multilevel"/>
    <w:tmpl w:val="911413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912F8D"/>
    <w:multiLevelType w:val="multilevel"/>
    <w:tmpl w:val="C6A2A8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0"/>
  </w:num>
  <w:num w:numId="3">
    <w:abstractNumId w:val="43"/>
  </w:num>
  <w:num w:numId="4">
    <w:abstractNumId w:val="4"/>
  </w:num>
  <w:num w:numId="5">
    <w:abstractNumId w:val="11"/>
  </w:num>
  <w:num w:numId="6">
    <w:abstractNumId w:val="30"/>
  </w:num>
  <w:num w:numId="7">
    <w:abstractNumId w:val="8"/>
  </w:num>
  <w:num w:numId="8">
    <w:abstractNumId w:val="1"/>
  </w:num>
  <w:num w:numId="9">
    <w:abstractNumId w:val="16"/>
  </w:num>
  <w:num w:numId="10">
    <w:abstractNumId w:val="22"/>
  </w:num>
  <w:num w:numId="11">
    <w:abstractNumId w:val="10"/>
  </w:num>
  <w:num w:numId="12">
    <w:abstractNumId w:val="29"/>
  </w:num>
  <w:num w:numId="13">
    <w:abstractNumId w:val="44"/>
  </w:num>
  <w:num w:numId="14">
    <w:abstractNumId w:val="25"/>
  </w:num>
  <w:num w:numId="15">
    <w:abstractNumId w:val="7"/>
  </w:num>
  <w:num w:numId="16">
    <w:abstractNumId w:val="38"/>
  </w:num>
  <w:num w:numId="17">
    <w:abstractNumId w:val="47"/>
  </w:num>
  <w:num w:numId="18">
    <w:abstractNumId w:val="46"/>
  </w:num>
  <w:num w:numId="19">
    <w:abstractNumId w:val="6"/>
  </w:num>
  <w:num w:numId="20">
    <w:abstractNumId w:val="24"/>
  </w:num>
  <w:num w:numId="21">
    <w:abstractNumId w:val="28"/>
  </w:num>
  <w:num w:numId="22">
    <w:abstractNumId w:val="41"/>
  </w:num>
  <w:num w:numId="23">
    <w:abstractNumId w:val="20"/>
  </w:num>
  <w:num w:numId="24">
    <w:abstractNumId w:val="9"/>
  </w:num>
  <w:num w:numId="25">
    <w:abstractNumId w:val="40"/>
  </w:num>
  <w:num w:numId="26">
    <w:abstractNumId w:val="39"/>
  </w:num>
  <w:num w:numId="27">
    <w:abstractNumId w:val="31"/>
  </w:num>
  <w:num w:numId="28">
    <w:abstractNumId w:val="13"/>
  </w:num>
  <w:num w:numId="29">
    <w:abstractNumId w:val="14"/>
  </w:num>
  <w:num w:numId="30">
    <w:abstractNumId w:val="23"/>
  </w:num>
  <w:num w:numId="31">
    <w:abstractNumId w:val="5"/>
  </w:num>
  <w:num w:numId="32">
    <w:abstractNumId w:val="19"/>
  </w:num>
  <w:num w:numId="33">
    <w:abstractNumId w:val="17"/>
  </w:num>
  <w:num w:numId="34">
    <w:abstractNumId w:val="21"/>
  </w:num>
  <w:num w:numId="35">
    <w:abstractNumId w:val="18"/>
  </w:num>
  <w:num w:numId="36">
    <w:abstractNumId w:val="3"/>
  </w:num>
  <w:num w:numId="37">
    <w:abstractNumId w:val="35"/>
  </w:num>
  <w:num w:numId="38">
    <w:abstractNumId w:val="32"/>
  </w:num>
  <w:num w:numId="39">
    <w:abstractNumId w:val="2"/>
  </w:num>
  <w:num w:numId="40">
    <w:abstractNumId w:val="42"/>
  </w:num>
  <w:num w:numId="41">
    <w:abstractNumId w:val="12"/>
  </w:num>
  <w:num w:numId="42">
    <w:abstractNumId w:val="15"/>
  </w:num>
  <w:num w:numId="43">
    <w:abstractNumId w:val="36"/>
  </w:num>
  <w:num w:numId="44">
    <w:abstractNumId w:val="26"/>
  </w:num>
  <w:num w:numId="45">
    <w:abstractNumId w:val="33"/>
  </w:num>
  <w:num w:numId="46">
    <w:abstractNumId w:val="37"/>
  </w:num>
  <w:num w:numId="47">
    <w:abstractNumId w:val="3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1D"/>
    <w:rsid w:val="003C6AE1"/>
    <w:rsid w:val="00493B40"/>
    <w:rsid w:val="005C107C"/>
    <w:rsid w:val="00915759"/>
    <w:rsid w:val="009A0153"/>
    <w:rsid w:val="00A36378"/>
    <w:rsid w:val="00BC2CEA"/>
    <w:rsid w:val="00C577AF"/>
    <w:rsid w:val="00E17A9A"/>
    <w:rsid w:val="00E9026F"/>
    <w:rsid w:val="00F63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E586AF"/>
  <w15:chartTrackingRefBased/>
  <w15:docId w15:val="{F8396685-C048-0749-B0CC-0AD148D0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391D"/>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6391D"/>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391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6391D"/>
    <w:rPr>
      <w:rFonts w:ascii="Times New Roman" w:eastAsia="Times New Roman" w:hAnsi="Times New Roman" w:cs="Times New Roman"/>
      <w:b/>
      <w:bCs/>
      <w:lang w:eastAsia="en-GB"/>
    </w:rPr>
  </w:style>
  <w:style w:type="character" w:styleId="Strong">
    <w:name w:val="Strong"/>
    <w:basedOn w:val="DefaultParagraphFont"/>
    <w:uiPriority w:val="22"/>
    <w:qFormat/>
    <w:rsid w:val="00F6391D"/>
    <w:rPr>
      <w:b/>
      <w:bCs/>
    </w:rPr>
  </w:style>
  <w:style w:type="paragraph" w:styleId="NormalWeb">
    <w:name w:val="Normal (Web)"/>
    <w:basedOn w:val="Normal"/>
    <w:uiPriority w:val="99"/>
    <w:semiHidden/>
    <w:unhideWhenUsed/>
    <w:rsid w:val="00F6391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5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Gillani</dc:creator>
  <cp:keywords/>
  <dc:description/>
  <cp:lastModifiedBy>Ayaan Gillani</cp:lastModifiedBy>
  <cp:revision>5</cp:revision>
  <dcterms:created xsi:type="dcterms:W3CDTF">2021-02-25T18:15:00Z</dcterms:created>
  <dcterms:modified xsi:type="dcterms:W3CDTF">2021-02-25T21:42:00Z</dcterms:modified>
</cp:coreProperties>
</file>