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D4AC0"/>
          <w:sz w:val="80"/>
        </w:rPr>
        <w:t>SCBP</w:t>
      </w:r>
    </w:p>
    <w:p>
      <w:pPr>
        <w:jc w:val="center"/>
      </w:pPr>
      <w:r>
        <w:rPr>
          <w:sz w:val="32"/>
        </w:rPr>
        <w:t>Система расчёта стоимости проекта</w:t>
      </w:r>
    </w:p>
    <w:p>
      <w:pPr>
        <w:jc w:val="center"/>
      </w:pPr>
      <w:r>
        <w:rPr>
          <w:color w:val="707070"/>
          <w:sz w:val="26"/>
        </w:rPr>
        <w:t>Руководство пользователя</w:t>
      </w:r>
    </w:p>
    <w:p/>
    <w:p>
      <w:pPr>
        <w:pStyle w:val="Heading1"/>
      </w:pPr>
      <w:r>
        <w:t>1. О системе</w:t>
      </w:r>
    </w:p>
    <w:p>
      <w:r>
        <w:t>SCBP — веб-приложение для расчёта себестоимости и отпускной цены проекта по привлекаемым ресурсам: штатные сотрудники, исполнители (ГПХ/НПД), подрядчики (юр./физ. лица) и оборудование/ПО. Система автоматически считает стоимость с учётом периода работ, производственного календаря РФ, страховых взносов, наценки и НДС, а также формирует документы (КП, НМА, смета) в PDF/Excel/Word.</w:t>
      </w:r>
    </w:p>
    <w:p>
      <w:pPr>
        <w:pStyle w:val="Heading1"/>
      </w:pPr>
      <w:r>
        <w:t>2. Главный экран</w:t>
      </w:r>
    </w:p>
    <w:p>
      <w:r>
        <w:t>После входа открывается дашборд с разделами:</w:t>
      </w:r>
    </w:p>
    <w:p>
      <w:pPr>
        <w:pStyle w:val="ListBullet"/>
      </w:pPr>
      <w:r>
        <w:t>Создание ресурсов (Каталог) — справочник сотрудников, исполнителей, подрядчиков, оборудования.</w:t>
      </w:r>
    </w:p>
    <w:p>
      <w:pPr>
        <w:pStyle w:val="ListBullet"/>
      </w:pPr>
      <w:r>
        <w:t>Управление проектами — создание проектов, назначение ресурсов, расчёт.</w:t>
      </w:r>
    </w:p>
    <w:p>
      <w:pPr>
        <w:pStyle w:val="ListBullet"/>
      </w:pPr>
      <w:r>
        <w:t>Генерация документов — КП, НМА, сметы в PDF/Excel/Word.</w:t>
      </w:r>
    </w:p>
    <w:p>
      <w:pPr>
        <w:pStyle w:val="ListBullet"/>
      </w:pPr>
      <w:r>
        <w:t>Диаграмма Ганта — расписание сотрудников по проектам.</w:t>
      </w:r>
    </w:p>
    <w:p>
      <w:pPr>
        <w:pStyle w:val="ListBullet"/>
      </w:pPr>
      <w:r>
        <w:t>Реестр услуг — справочник услуг для назначения ресурсам.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3137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313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Рис. 1. Главный экран (дашборд)</w:t>
      </w:r>
    </w:p>
    <w:p>
      <w:pPr>
        <w:pStyle w:val="Heading1"/>
      </w:pPr>
      <w:r>
        <w:t>3. Каталог ресурсов</w:t>
      </w:r>
    </w:p>
    <w:p>
      <w:r>
        <w:t>В «Каталоге» создаются ресурсы по вкладкам. Для оборудования выбирается тип тарификации: помесячная, посуточная, почасовая или поминутная — и вводится соответствующая ставка.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8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ata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Рис. 2. Каталог ресурсов</w:t>
      </w:r>
    </w:p>
    <w:p>
      <w:pPr>
        <w:pStyle w:val="Heading1"/>
      </w:pPr>
      <w:r>
        <w:t>4. Реестр услуг</w:t>
      </w:r>
    </w:p>
    <w:p>
      <w:r>
        <w:t>Услуги — глобальный справочник, который назначается ресурсам в проекте. У каждой услуги есть поле «Применяется к» (Любой ресурс / Сотрудники / Исполнители / Подрядчики / Оборудование). В строке ресурса в выпадающем списке показываются только подходящие по типу услуги. Услуги можно добавлять, редактировать, скрывать (флаг «Активна») и удалять; виден счётчик использования.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63211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erv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32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Рис. 3. Реестр услуг (сгруппирован по категориям «Применяется к»)</w:t>
      </w:r>
    </w:p>
    <w:p>
      <w:pPr>
        <w:pStyle w:val="Heading1"/>
      </w:pPr>
      <w:r>
        <w:t>5. Управление проектом: финансовые показатели</w:t>
      </w:r>
    </w:p>
    <w:p>
      <w:r>
        <w:t>В карточке «Финансовые показатели» задаются настраиваемые параметры расчёта:</w:t>
      </w:r>
    </w:p>
    <w:p>
      <w:pPr>
        <w:pStyle w:val="ListBullet"/>
      </w:pPr>
      <w:r>
        <w:t>Страховые взносы на ФОТ (%) — начисляются ТОЛЬКО на оклад штатных сотрудников и входят в себестоимость. На исполнителей, подрядчиков и оборудование не начисляются.</w:t>
      </w:r>
    </w:p>
    <w:p>
      <w:pPr>
        <w:pStyle w:val="ListBullet"/>
      </w:pPr>
      <w:r>
        <w:t>Наценка / рентабельность (%) — надбавка к себестоимости ресурса. У каждого ресурса можно задать свою наценку (пусто = наценка проекта, 0 = строгий ноль).</w:t>
      </w:r>
    </w:p>
    <w:p>
      <w:pPr>
        <w:pStyle w:val="ListBullet"/>
      </w:pPr>
      <w:r>
        <w:t>НДС (%) — начисляется ОДИН раз на итоговую цену (output) и НЕ входит в прибыль. По умолчанию 0 (напр., УСН без НДС).</w:t>
      </w:r>
    </w:p>
    <w:p>
      <w:pPr>
        <w:pStyle w:val="ListBullet"/>
      </w:pPr>
      <w:r>
        <w:t>Часов в дне (КЧЧ) — для отображения часов сотрудника и расчёта оборудования.</w:t>
      </w:r>
    </w:p>
    <w:p>
      <w:r>
        <w:t>Все параметры по умолчанию 0 — ничего не начисляется, пока не задано. KPI-карточки: Себестоимость → Цена без НДС → НДС → Цена с НДС → Чистая прибыль.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8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oject-fin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Рис. 4. Параметры проекта и финансовые KPI</w:t>
      </w:r>
    </w:p>
    <w:p>
      <w:pPr>
        <w:pStyle w:val="Heading1"/>
      </w:pPr>
      <w:r>
        <w:t>6. Сводная таблица ресурсов</w:t>
      </w:r>
    </w:p>
    <w:p>
      <w:r>
        <w:t>Ресурсы сгруппированы по типам (Сотрудники / Исполнители / Подрядчики / Оборудование). У каждой группы — счётчик и подытог (сумма «Итого»). В строке настраиваются: услуга, наценка, период работ (начало/окончание) и количество часов (для исполнителей/почасовых подрядчиков). Все изменения сохраняются автоматически, а числа пересчитываются мгновенно. Внизу — «ИТОГО ПО ПРОЕКТУ».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341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source-t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34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Рис. 5. Сводная таблица (группировка по типам, подытоги)</w:t>
      </w:r>
    </w:p>
    <w:p>
      <w:r>
        <w:t>Период оборудования берётся из дат в таблице; если не задано — от даты приобретения до конца проекта. Тарификация всегда по календарным дням периода:</w:t>
      </w:r>
    </w:p>
    <w:p>
      <w:pPr>
        <w:pStyle w:val="ListBullet"/>
      </w:pPr>
      <w:r>
        <w:t>Помесячно: число месяцев (округление вверх) × ставка.</w:t>
      </w:r>
    </w:p>
    <w:p>
      <w:pPr>
        <w:pStyle w:val="ListBullet"/>
      </w:pPr>
      <w:r>
        <w:t>Посуточно: календарных дней × ставка.</w:t>
      </w:r>
    </w:p>
    <w:p>
      <w:pPr>
        <w:pStyle w:val="ListBullet"/>
      </w:pPr>
      <w:r>
        <w:t>Почасово: дней × 24 ч × ставка.</w:t>
      </w:r>
    </w:p>
    <w:p>
      <w:pPr>
        <w:pStyle w:val="ListBullet"/>
      </w:pPr>
      <w:r>
        <w:t>Поминутно: дней × 24 × 60 мин × ставка (цена показывается за минуту).</w:t>
      </w:r>
    </w:p>
    <w:p>
      <w:pPr>
        <w:pStyle w:val="Heading1"/>
      </w:pPr>
      <w:r>
        <w:t>7. Формулы расчёта</w:t>
      </w:r>
    </w:p>
    <w:p>
      <w:r>
        <w:t>На уровне строки ресурса:</w:t>
      </w:r>
    </w:p>
    <w:p>
      <w:r>
        <w:rPr>
          <w:rFonts w:ascii="Consolas" w:hAnsi="Consolas"/>
        </w:rPr>
        <w:t>cost (себестоимость) = база × (1 + взносы/100)   — взносы только для сотрудников</w:t>
        <w:br/>
        <w:t>final (итого)        = cost × (1 + наценка/100)</w:t>
      </w:r>
    </w:p>
    <w:p>
      <w:r>
        <w:t>На уровне проекта:</w:t>
      </w:r>
    </w:p>
    <w:p>
      <w:r>
        <w:rPr>
          <w:rFonts w:ascii="Consolas" w:hAnsi="Consolas"/>
        </w:rPr>
        <w:t>Себестоимость = Σ cost</w:t>
        <w:br/>
        <w:t>Цена без НДС  = Σ final</w:t>
        <w:br/>
        <w:t>Чистая прибыль = Цена без НДС − Себестоимость   (НДС в прибыль не входит)</w:t>
        <w:br/>
        <w:t>НДС           = Цена без НДС × НДС%/100</w:t>
        <w:br/>
        <w:t>Цена с НДС    = Цена без НДС + НДС</w:t>
      </w:r>
    </w:p>
    <w:p>
      <w:r>
        <w:t>«База» по типам ресурса:</w:t>
      </w:r>
    </w:p>
    <w:p>
      <w:pPr>
        <w:pStyle w:val="ListBullet"/>
      </w:pPr>
      <w:r>
        <w:t>Сотрудник: оклад × (рабочие дни периода − недоступные) / рабочих дней в месяце (по производственному календарю). Без дат — полный оклад.</w:t>
      </w:r>
    </w:p>
    <w:p>
      <w:pPr>
        <w:pStyle w:val="ListBullet"/>
      </w:pPr>
      <w:r>
        <w:t>Исполнитель: ставка/час × часы.</w:t>
      </w:r>
    </w:p>
    <w:p>
      <w:pPr>
        <w:pStyle w:val="ListBullet"/>
      </w:pPr>
      <w:r>
        <w:t>Подрядчик: фиксированная сумма договора, либо ставка/час × часы.</w:t>
      </w:r>
    </w:p>
    <w:p>
      <w:pPr>
        <w:pStyle w:val="ListBullet"/>
      </w:pPr>
      <w:r>
        <w:t>Оборудование: ставка × число единиц периода (мес/дн/час/мин) × количество.</w:t>
      </w:r>
    </w:p>
    <w:p>
      <w:pPr>
        <w:pStyle w:val="Heading1"/>
      </w:pPr>
      <w:r>
        <w:t>8. Проверка корректности (пример)</w:t>
      </w:r>
    </w:p>
    <w:p>
      <w:r>
        <w:t>Демо-проект: взносы = 30%, НДС = 22%, наценка = 15%. Сверка отображаемых значений с расчётом «вручную» (фрагмент):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Ресурс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База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Себест.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Итого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Проверка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Петрова (сотрудник, без дат)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195 000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224 250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150000×1.30×1.15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Кузнецов (исполнитель, 120 ч × 1500)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207 000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без взносов ×1.15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ООО Интегратор (подрядчик, фикс)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575 000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500000×1.15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Тестовый стенд (оборуд., 150 дн × 1500 × 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517 500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посуточно ×1.15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Сервер Dell (оборуд., 4 мес × 25000)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115 000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помесячно ×1.15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GPU (оборуд., 4128 ч × 300)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1 238 400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1 238 400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1 424 160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почасово ×1.15</w:t>
            </w:r>
          </w:p>
        </w:tc>
      </w:tr>
    </w:tbl>
    <w:p>
      <w:r>
        <w:t>Итоги проекта: Цена без НДС = 7 040 939,26 ₽; НДС 22% = 1 549 006,64 ₽; Цена с НДС = 8 589 945,90 ₽. Все значения сходятся с ручным расчётом, а живой пересчёт при изменении наценки/дат/часов проверен.</w:t>
      </w:r>
    </w:p>
    <w:p>
      <w:pPr>
        <w:pStyle w:val="Heading1"/>
      </w:pPr>
      <w:r>
        <w:t>9. Генерация документов</w:t>
      </w:r>
    </w:p>
    <w:p>
      <w:r>
        <w:t>На странице документов проекта формируются КП, НМА и смета в форматах PDF, Excel и Word. В итоговую стоимость подставляются те же числа, что и в сводной таблице; при НДС &gt; 0 добавляется строка с разбивкой НДС.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66796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ocum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679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Рис. 6. Генерация документов</w:t>
      </w:r>
    </w:p>
    <w:p>
      <w:pPr>
        <w:pStyle w:val="Heading1"/>
      </w:pPr>
      <w:r>
        <w:t>10. Быстрый старт и что смотреть</w:t>
      </w:r>
    </w:p>
    <w:p>
      <w:r>
        <w:t>База данных уже включена (демо-данные) — создавать пользователя не нужно.</w:t>
      </w:r>
    </w:p>
    <w:p>
      <w:pPr>
        <w:pStyle w:val="ListBullet"/>
      </w:pPr>
      <w:r>
        <w:t>Запуск: python3 -m venv venv → активировать → pip install -r requirements.txt → python manage.py runserver</w:t>
      </w:r>
    </w:p>
    <w:p>
      <w:pPr>
        <w:pStyle w:val="ListBullet"/>
      </w:pPr>
      <w:r>
        <w:t>Открыть http://127.0.0.1:8000/login/  ·  Email: admin@demo.local  ·  Пароль: Demo2026!</w:t>
      </w:r>
    </w:p>
    <w:p>
      <w:pPr>
        <w:pStyle w:val="ListBullet"/>
      </w:pPr>
      <w:r>
        <w:t>Открыть проект «Демо-проект (все типы ресурсов)» — в нём ресурсы всех типов и все варианты расчёта.</w:t>
      </w:r>
    </w:p>
    <w:p>
      <w:pPr>
        <w:pStyle w:val="ListBullet"/>
      </w:pPr>
      <w:r>
        <w:t>Финансовые показатели (взносы / наценка / НДС) и сводная таблица — на странице проекта.</w:t>
      </w:r>
    </w:p>
    <w:p>
      <w:pPr>
        <w:pStyle w:val="ListBullet"/>
      </w:pPr>
      <w:r>
        <w:t>Документы КП и НМА (PDF/Excel/Word) — кнопка «Документы» на странице проекта.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