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20"/>
      </w:pPr>
      <w:r>
        <w:rPr>
          <w:rFonts w:ascii="Calibri" w:hAnsi="Calibri"/>
          <w:b/>
          <w:i w:val="0"/>
          <w:color w:val="28251D"/>
          <w:sz w:val="26"/>
        </w:rPr>
        <w:t>Artifact 01</w:t>
      </w:r>
    </w:p>
    <w:p>
      <w:pPr>
        <w:keepNext/>
        <w:spacing w:before="200" w:after="120"/>
      </w:pPr>
      <w:r>
        <w:rPr>
          <w:rFonts w:ascii="Calibri" w:hAnsi="Calibri"/>
          <w:b/>
          <w:i w:val="0"/>
          <w:color w:val="01696F"/>
          <w:sz w:val="44"/>
        </w:rPr>
        <w:t>Engagement Kickoff &amp; Scope</w:t>
      </w:r>
    </w:p>
    <w:p>
      <w:pPr>
        <w:spacing w:after="80"/>
      </w:pPr>
      <w:r>
        <w:rPr>
          <w:rFonts w:ascii="Calibri" w:hAnsi="Calibri"/>
          <w:b w:val="0"/>
          <w:i/>
          <w:color w:val="7A7974"/>
          <w:sz w:val="22"/>
        </w:rPr>
        <w:t>FinOps AI Principal Consultant — Reference Manual Template</w:t>
      </w:r>
    </w:p>
    <w:p/>
    <w:p>
      <w:pPr>
        <w:keepNext/>
        <w:spacing w:before="280" w:after="120"/>
      </w:pPr>
      <w:r>
        <w:rPr>
          <w:rFonts w:ascii="Calibri" w:hAnsi="Calibri"/>
          <w:b/>
          <w:i w:val="0"/>
          <w:color w:val="01696F"/>
          <w:sz w:val="32"/>
        </w:rPr>
        <w:t>Role context — why the Principal AI Solutions Consultant owns this</w:t>
      </w:r>
    </w:p>
    <w:p>
      <w:pPr>
        <w:spacing w:after="80"/>
      </w:pPr>
      <w:r>
        <w:rPr>
          <w:rFonts w:ascii="Calibri" w:hAnsi="Calibri"/>
          <w:b w:val="0"/>
          <w:i w:val="0"/>
          <w:color w:val="28251D"/>
          <w:sz w:val="21"/>
        </w:rPr>
        <w:t>As the Principal AI Solutions Consultant you are the accountable owner of the engagement. This artifact is your covenant with the business, technology, finance, risk, and compliance partners. Signed scope prevents the two most expensive failure modes in enterprise AI work: silent scope creep and disputed acceptance criteria at the go/no-go review.</w:t>
      </w:r>
    </w:p>
    <w:p>
      <w:pPr>
        <w:keepNext/>
        <w:spacing w:before="280" w:after="120"/>
      </w:pPr>
      <w:r>
        <w:rPr>
          <w:rFonts w:ascii="Calibri" w:hAnsi="Calibri"/>
          <w:b/>
          <w:i w:val="0"/>
          <w:color w:val="01696F"/>
          <w:sz w:val="32"/>
        </w:rPr>
        <w:t>Purpose</w:t>
      </w:r>
    </w:p>
    <w:p>
      <w:pPr>
        <w:spacing w:after="80"/>
      </w:pPr>
      <w:r>
        <w:rPr>
          <w:rFonts w:ascii="Calibri" w:hAnsi="Calibri"/>
          <w:b w:val="0"/>
          <w:i w:val="0"/>
          <w:color w:val="28251D"/>
          <w:sz w:val="21"/>
        </w:rPr>
        <w:t>Create a shared, auditable agreement on what you will model, what you will not, what success means, and who approves decisions. Every downstream artifact in this pack inherits its boundaries from here.</w:t>
      </w:r>
    </w:p>
    <w:p>
      <w:pPr>
        <w:keepNext/>
        <w:spacing w:before="280" w:after="120"/>
      </w:pPr>
      <w:r>
        <w:rPr>
          <w:rFonts w:ascii="Calibri" w:hAnsi="Calibri"/>
          <w:b/>
          <w:i w:val="0"/>
          <w:color w:val="01696F"/>
          <w:sz w:val="32"/>
        </w:rPr>
        <w:t>When to use</w:t>
      </w:r>
    </w:p>
    <w:p>
      <w:pPr>
        <w:spacing w:after="80"/>
      </w:pPr>
      <w:r>
        <w:rPr>
          <w:rFonts w:ascii="Calibri" w:hAnsi="Calibri"/>
          <w:b w:val="0"/>
          <w:i w:val="0"/>
          <w:color w:val="28251D"/>
          <w:sz w:val="21"/>
        </w:rPr>
        <w:t>Immediately at engagement start (Week 0–1). Re-open only when scope materially changes; then log the change in the Decision Log with a new revision number.</w:t>
      </w:r>
    </w:p>
    <w:p>
      <w:pPr>
        <w:keepNext/>
        <w:spacing w:before="280" w:after="120"/>
      </w:pPr>
      <w:r>
        <w:rPr>
          <w:rFonts w:ascii="Calibri" w:hAnsi="Calibri"/>
          <w:b/>
          <w:i w:val="0"/>
          <w:color w:val="01696F"/>
          <w:sz w:val="32"/>
        </w:rPr>
        <w:t>Inputs needed</w:t>
      </w:r>
    </w:p>
    <w:p>
      <w:pPr>
        <w:pStyle w:val="ListBullet"/>
        <w:spacing w:after="40"/>
      </w:pPr>
      <w:r>
        <w:rPr>
          <w:rFonts w:ascii="Calibri" w:hAnsi="Calibri"/>
          <w:b w:val="0"/>
          <w:i w:val="0"/>
          <w:color w:val="28251D"/>
          <w:sz w:val="21"/>
        </w:rPr>
        <w:t>One-paragraph description of the target AI workload (current or planned)</w:t>
      </w:r>
    </w:p>
    <w:p>
      <w:pPr>
        <w:pStyle w:val="ListBullet"/>
        <w:spacing w:after="40"/>
      </w:pPr>
      <w:r>
        <w:rPr>
          <w:rFonts w:ascii="Calibri" w:hAnsi="Calibri"/>
          <w:b w:val="0"/>
          <w:i w:val="0"/>
          <w:color w:val="28251D"/>
          <w:sz w:val="21"/>
        </w:rPr>
        <w:t>High-level architecture (diagram or bullets)</w:t>
      </w:r>
    </w:p>
    <w:p>
      <w:pPr>
        <w:pStyle w:val="ListBullet"/>
        <w:spacing w:after="40"/>
      </w:pPr>
      <w:r>
        <w:rPr>
          <w:rFonts w:ascii="Calibri" w:hAnsi="Calibri"/>
          <w:b w:val="0"/>
          <w:i w:val="0"/>
          <w:color w:val="28251D"/>
          <w:sz w:val="21"/>
        </w:rPr>
        <w:t>Expected usage volume range (low / expected / peak)</w:t>
      </w:r>
    </w:p>
    <w:p>
      <w:pPr>
        <w:pStyle w:val="ListBullet"/>
        <w:spacing w:after="40"/>
      </w:pPr>
      <w:r>
        <w:rPr>
          <w:rFonts w:ascii="Calibri" w:hAnsi="Calibri"/>
          <w:b w:val="0"/>
          <w:i w:val="0"/>
          <w:color w:val="28251D"/>
          <w:sz w:val="21"/>
        </w:rPr>
        <w:t>Known constraints: data residency, model governance, third-party risk, procurement</w:t>
      </w:r>
    </w:p>
    <w:p>
      <w:pPr>
        <w:pStyle w:val="ListBullet"/>
        <w:spacing w:after="40"/>
      </w:pPr>
      <w:r>
        <w:rPr>
          <w:rFonts w:ascii="Calibri" w:hAnsi="Calibri"/>
          <w:b w:val="0"/>
          <w:i w:val="0"/>
          <w:color w:val="28251D"/>
          <w:sz w:val="21"/>
        </w:rPr>
        <w:t>Named stakeholders and owners across business, product, engineering, finance, risk, compliance</w:t>
      </w:r>
    </w:p>
    <w:p>
      <w:pPr>
        <w:keepNext/>
        <w:spacing w:before="280" w:after="120"/>
      </w:pPr>
      <w:r>
        <w:rPr>
          <w:rFonts w:ascii="Calibri" w:hAnsi="Calibri"/>
          <w:b/>
          <w:i w:val="0"/>
          <w:color w:val="01696F"/>
          <w:sz w:val="32"/>
        </w:rPr>
        <w:t>Key concepts (glossary)</w:t>
      </w:r>
    </w:p>
    <w:p>
      <w:pPr>
        <w:spacing w:after="80"/>
      </w:pPr>
      <w:r>
        <w:rPr>
          <w:rFonts w:ascii="Calibri" w:hAnsi="Calibri"/>
          <w:b w:val="0"/>
          <w:i/>
          <w:color w:val="7A7974"/>
          <w:sz w:val="21"/>
        </w:rPr>
        <w:t>If you have never done AI FinOps before, read this section carefully. Each concept is used elsewhere in this artifact and across the pack.</w:t>
      </w:r>
    </w:p>
    <w:p>
      <w:pPr>
        <w:keepNext/>
        <w:spacing w:before="200" w:after="120"/>
      </w:pPr>
      <w:r>
        <w:rPr>
          <w:rFonts w:ascii="Calibri" w:hAnsi="Calibri"/>
          <w:b/>
          <w:i w:val="0"/>
          <w:color w:val="28251D"/>
          <w:sz w:val="22"/>
        </w:rPr>
        <w:t>Cost boundary</w:t>
      </w:r>
    </w:p>
    <w:p>
      <w:pPr>
        <w:spacing w:after="80"/>
      </w:pPr>
      <w:r>
        <w:rPr>
          <w:rFonts w:ascii="Calibri" w:hAnsi="Calibri"/>
          <w:b w:val="0"/>
          <w:i w:val="0"/>
          <w:color w:val="28251D"/>
          <w:sz w:val="21"/>
        </w:rPr>
        <w:t>Definition: The explicit list of what is IN and OUT of the model. Prevents late surprises like 'we forgot vector DB storage' or 'this includes dev traffic.'</w:t>
      </w:r>
    </w:p>
    <w:p>
      <w:pPr>
        <w:spacing w:after="80"/>
      </w:pPr>
      <w:r>
        <w:rPr>
          <w:rFonts w:ascii="Calibri" w:hAnsi="Calibri"/>
          <w:b w:val="0"/>
          <w:i w:val="0"/>
          <w:color w:val="28251D"/>
          <w:sz w:val="21"/>
        </w:rPr>
        <w:t>Why it matters: The single biggest source of forecast error in AI programs is undeclared scope. State the boundary in one paragraph AND repeat it as a checklist so approvers cannot claim later they were unaware.</w:t>
      </w:r>
    </w:p>
    <w:p>
      <w:pPr>
        <w:keepNext/>
        <w:spacing w:before="200" w:after="120"/>
      </w:pPr>
      <w:r>
        <w:rPr>
          <w:rFonts w:ascii="Calibri" w:hAnsi="Calibri"/>
          <w:b/>
          <w:i w:val="0"/>
          <w:color w:val="28251D"/>
          <w:sz w:val="22"/>
        </w:rPr>
        <w:t>Decision log</w:t>
      </w:r>
    </w:p>
    <w:p>
      <w:pPr>
        <w:spacing w:after="80"/>
      </w:pPr>
      <w:r>
        <w:rPr>
          <w:rFonts w:ascii="Calibri" w:hAnsi="Calibri"/>
          <w:b w:val="0"/>
          <w:i w:val="0"/>
          <w:color w:val="28251D"/>
          <w:sz w:val="21"/>
        </w:rPr>
        <w:t>Definition: A tabular, timestamped record of every material decision, who made it, and why. Fields: Date, Decision, Owner, Rationale, Link/Artifact.</w:t>
      </w:r>
    </w:p>
    <w:p>
      <w:pPr>
        <w:spacing w:after="80"/>
      </w:pPr>
      <w:r>
        <w:rPr>
          <w:rFonts w:ascii="Calibri" w:hAnsi="Calibri"/>
          <w:b w:val="0"/>
          <w:i w:val="0"/>
          <w:color w:val="28251D"/>
          <w:sz w:val="21"/>
        </w:rPr>
        <w:t>Why it matters: Auditors, model-risk teams, and second-line reviewers will ask 'why did you choose X?' months later. The decision log answers that in seconds.</w:t>
      </w:r>
    </w:p>
    <w:p>
      <w:pPr>
        <w:keepNext/>
        <w:spacing w:before="200" w:after="120"/>
      </w:pPr>
      <w:r>
        <w:rPr>
          <w:rFonts w:ascii="Calibri" w:hAnsi="Calibri"/>
          <w:b/>
          <w:i w:val="0"/>
          <w:color w:val="28251D"/>
          <w:sz w:val="22"/>
        </w:rPr>
        <w:t>RACI</w:t>
      </w:r>
    </w:p>
    <w:p>
      <w:pPr>
        <w:spacing w:after="80"/>
      </w:pPr>
      <w:r>
        <w:rPr>
          <w:rFonts w:ascii="Calibri" w:hAnsi="Calibri"/>
          <w:b w:val="0"/>
          <w:i w:val="0"/>
          <w:color w:val="28251D"/>
          <w:sz w:val="21"/>
        </w:rPr>
        <w:t>Definition: Responsible (does the work), Accountable (single point of ownership), Consulted (two-way input), Informed (one-way notification).</w:t>
      </w:r>
    </w:p>
    <w:p>
      <w:pPr>
        <w:spacing w:after="80"/>
      </w:pPr>
      <w:r>
        <w:rPr>
          <w:rFonts w:ascii="Calibri" w:hAnsi="Calibri"/>
          <w:b w:val="0"/>
          <w:i w:val="0"/>
          <w:color w:val="28251D"/>
          <w:sz w:val="21"/>
        </w:rPr>
        <w:t>Why it matters: Ambiguous ownership on quality gates, cost forecasts, and chargeback is the second most common source of program drift. Assign a single Accountable per activity.</w:t>
      </w:r>
    </w:p>
    <w:p>
      <w:pPr>
        <w:keepNext/>
        <w:spacing w:before="280" w:after="120"/>
      </w:pPr>
      <w:r>
        <w:rPr>
          <w:rFonts w:ascii="Calibri" w:hAnsi="Calibri"/>
          <w:b/>
          <w:i w:val="0"/>
          <w:color w:val="01696F"/>
          <w:sz w:val="32"/>
        </w:rPr>
        <w:t>How to use this artifact (step-by-step)</w:t>
      </w:r>
    </w:p>
    <w:p>
      <w:pPr>
        <w:pStyle w:val="ListNumber"/>
        <w:spacing w:after="40"/>
      </w:pPr>
      <w:r>
        <w:rPr>
          <w:rFonts w:ascii="Calibri" w:hAnsi="Calibri"/>
          <w:b w:val="0"/>
          <w:i w:val="0"/>
          <w:color w:val="28251D"/>
          <w:sz w:val="21"/>
        </w:rPr>
        <w:t>Step 1: Interview the business owner for 30 minutes. Capture the process being changed, the KPI it moves, and the value at stake. Write it in one paragraph.</w:t>
      </w:r>
    </w:p>
    <w:p>
      <w:pPr>
        <w:pStyle w:val="ListNumber"/>
        <w:spacing w:after="40"/>
      </w:pPr>
      <w:r>
        <w:rPr>
          <w:rFonts w:ascii="Calibri" w:hAnsi="Calibri"/>
          <w:b w:val="0"/>
          <w:i w:val="0"/>
          <w:color w:val="28251D"/>
          <w:sz w:val="21"/>
        </w:rPr>
        <w:t>Step 2: With the technical owner, walk through the current architecture and mark every component with IN, OUT, or DEFER.</w:t>
      </w:r>
    </w:p>
    <w:p>
      <w:pPr>
        <w:pStyle w:val="ListNumber"/>
        <w:spacing w:after="40"/>
      </w:pPr>
      <w:r>
        <w:rPr>
          <w:rFonts w:ascii="Calibri" w:hAnsi="Calibri"/>
          <w:b w:val="0"/>
          <w:i w:val="0"/>
          <w:color w:val="28251D"/>
          <w:sz w:val="21"/>
        </w:rPr>
        <w:t>Step 3: Define four objectives (cost, performance, quality, adoption) and one governance objective. Each must have a measurable threshold and an owner.</w:t>
      </w:r>
    </w:p>
    <w:p>
      <w:pPr>
        <w:pStyle w:val="ListNumber"/>
        <w:spacing w:after="40"/>
      </w:pPr>
      <w:r>
        <w:rPr>
          <w:rFonts w:ascii="Calibri" w:hAnsi="Calibri"/>
          <w:b w:val="0"/>
          <w:i w:val="0"/>
          <w:color w:val="28251D"/>
          <w:sz w:val="21"/>
        </w:rPr>
        <w:t>Step 4: Explicitly enumerate excluded costs (dev/test traffic, ingestion one-time costs, sunk platform overhead). Missing exclusions cause 'surprise' variance.</w:t>
      </w:r>
    </w:p>
    <w:p>
      <w:pPr>
        <w:pStyle w:val="ListNumber"/>
        <w:spacing w:after="40"/>
      </w:pPr>
      <w:r>
        <w:rPr>
          <w:rFonts w:ascii="Calibri" w:hAnsi="Calibri"/>
          <w:b w:val="0"/>
          <w:i w:val="0"/>
          <w:color w:val="28251D"/>
          <w:sz w:val="21"/>
        </w:rPr>
        <w:t>Step 5: Choose the measurement approach. If any live pilot traffic exists, use it — self-reported estimates alone will not survive challenge from finance.</w:t>
      </w:r>
    </w:p>
    <w:p>
      <w:pPr>
        <w:pStyle w:val="ListNumber"/>
        <w:spacing w:after="40"/>
      </w:pPr>
      <w:r>
        <w:rPr>
          <w:rFonts w:ascii="Calibri" w:hAnsi="Calibri"/>
          <w:b w:val="0"/>
          <w:i w:val="0"/>
          <w:color w:val="28251D"/>
          <w:sz w:val="21"/>
        </w:rPr>
        <w:t>Step 6: Publish target dates against the six-week cadence in the template. Slippage on Week 1 predicts slippage on Week 4.</w:t>
      </w:r>
    </w:p>
    <w:p>
      <w:pPr>
        <w:pStyle w:val="ListNumber"/>
        <w:spacing w:after="40"/>
      </w:pPr>
      <w:r>
        <w:rPr>
          <w:rFonts w:ascii="Calibri" w:hAnsi="Calibri"/>
          <w:b w:val="0"/>
          <w:i w:val="0"/>
          <w:color w:val="28251D"/>
          <w:sz w:val="21"/>
        </w:rPr>
        <w:t>Step 7: Route for sign-off. Minimum sign-off set: business owner, technical owner, finance partner, risk representative.</w:t>
      </w:r>
    </w:p>
    <w:p>
      <w:pPr>
        <w:keepNext/>
        <w:spacing w:before="280" w:after="120"/>
      </w:pPr>
      <w:r>
        <w:rPr>
          <w:rFonts w:ascii="Calibri" w:hAnsi="Calibri"/>
          <w:b/>
          <w:i w:val="0"/>
          <w:color w:val="01696F"/>
          <w:sz w:val="32"/>
        </w:rPr>
        <w:t>Worked example</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9972"/>
      </w:tblGrid>
      <w:tr>
        <w:tc>
          <w:tcPr>
            <w:tcW w:type="dxa" w:w="9972"/>
            <w:shd w:val="clear" w:color="auto" w:fill="F1EFEA"/>
          </w:tcPr>
          <w:p>
            <w:r>
              <w:rPr>
                <w:rFonts w:ascii="Calibri" w:hAnsi="Calibri"/>
                <w:b/>
                <w:i w:val="0"/>
                <w:color w:val="01696F"/>
                <w:sz w:val="21"/>
              </w:rPr>
              <w:t xml:space="preserve">Example:  </w:t>
            </w:r>
            <w:r>
              <w:rPr>
                <w:rFonts w:ascii="Calibri" w:hAnsi="Calibri"/>
                <w:b w:val="0"/>
                <w:i w:val="0"/>
                <w:color w:val="28251D"/>
                <w:sz w:val="21"/>
              </w:rPr>
              <w:t>Workload: 'Wealth-management client servicing assistant' — an internal-facing RAG assistant that helps financial advisors draft responses to client emails. In-scope: LLM inference, retrieval, vector DB, evaluation harness, HITL review. Out-of-scope: CRM integration engineering (billed separately), one-time ingestion of 3.2M documents, and executive dashboarding. Cost objective: forecast Year-1 monthly spend within ±10%. Quality objective: ≥92% advisor acceptance rate on sampled outputs. Adoption objective: 60% of eligible advisors using the assistant at least 3 times/week by month 6. Governance: SR 11-7 tier-2 model risk designation with quarterly revalidation.</w:t>
            </w:r>
          </w:p>
        </w:tc>
      </w:tr>
    </w:tbl>
    <w:p/>
    <w:p>
      <w:pPr>
        <w:keepNext/>
        <w:spacing w:before="280" w:after="120"/>
      </w:pPr>
      <w:r>
        <w:rPr>
          <w:rFonts w:ascii="Calibri" w:hAnsi="Calibri"/>
          <w:b/>
          <w:i w:val="0"/>
          <w:color w:val="01696F"/>
          <w:sz w:val="32"/>
        </w:rPr>
        <w:t>Common pitfalls (and how to avoid them)</w:t>
      </w:r>
    </w:p>
    <w:p>
      <w:pPr>
        <w:pStyle w:val="ListBullet"/>
        <w:spacing w:after="40"/>
      </w:pPr>
      <w:r>
        <w:rPr>
          <w:rFonts w:ascii="Calibri" w:hAnsi="Calibri"/>
          <w:b w:val="0"/>
          <w:i w:val="0"/>
          <w:color w:val="28251D"/>
          <w:sz w:val="21"/>
        </w:rPr>
        <w:t>Skipping the exclusions list — inclusions alone do not prevent scope creep.</w:t>
      </w:r>
    </w:p>
    <w:p>
      <w:pPr>
        <w:pStyle w:val="ListBullet"/>
        <w:spacing w:after="40"/>
      </w:pPr>
      <w:r>
        <w:rPr>
          <w:rFonts w:ascii="Calibri" w:hAnsi="Calibri"/>
          <w:b w:val="0"/>
          <w:i w:val="0"/>
          <w:color w:val="28251D"/>
          <w:sz w:val="21"/>
        </w:rPr>
        <w:t>Assigning multiple Accountables. If two people are accountable, no one is.</w:t>
      </w:r>
    </w:p>
    <w:p>
      <w:pPr>
        <w:pStyle w:val="ListBullet"/>
        <w:spacing w:after="40"/>
      </w:pPr>
      <w:r>
        <w:rPr>
          <w:rFonts w:ascii="Calibri" w:hAnsi="Calibri"/>
          <w:b w:val="0"/>
          <w:i w:val="0"/>
          <w:color w:val="28251D"/>
          <w:sz w:val="21"/>
        </w:rPr>
        <w:t>Vague success metrics ('improve customer experience') that cannot be measured or tied to cost.</w:t>
      </w:r>
    </w:p>
    <w:p>
      <w:pPr>
        <w:pStyle w:val="ListBullet"/>
        <w:spacing w:after="40"/>
      </w:pPr>
      <w:r>
        <w:rPr>
          <w:rFonts w:ascii="Calibri" w:hAnsi="Calibri"/>
          <w:b w:val="0"/>
          <w:i w:val="0"/>
          <w:color w:val="28251D"/>
          <w:sz w:val="21"/>
        </w:rPr>
        <w:t>Waiting to define governance until pilot ends. Model risk teams often gate scaling; loop them in Week 1.</w:t>
      </w:r>
    </w:p>
    <w:p>
      <w:pPr>
        <w:pStyle w:val="ListBullet"/>
        <w:spacing w:after="40"/>
      </w:pPr>
      <w:r>
        <w:rPr>
          <w:rFonts w:ascii="Calibri" w:hAnsi="Calibri"/>
          <w:b w:val="0"/>
          <w:i w:val="0"/>
          <w:color w:val="28251D"/>
          <w:sz w:val="21"/>
        </w:rPr>
        <w:t>Treating volume as a single point estimate. Always state low/expected/peak.</w:t>
      </w:r>
    </w:p>
    <w:p>
      <w:pPr>
        <w:keepNext/>
        <w:spacing w:before="280" w:after="120"/>
      </w:pPr>
      <w:r>
        <w:rPr>
          <w:rFonts w:ascii="Calibri" w:hAnsi="Calibri"/>
          <w:b/>
          <w:i w:val="0"/>
          <w:color w:val="01696F"/>
          <w:sz w:val="32"/>
        </w:rPr>
        <w:t>Decision tree</w:t>
      </w:r>
    </w:p>
    <w:p>
      <w:pPr>
        <w:pStyle w:val="ListBullet"/>
        <w:spacing w:after="40"/>
      </w:pPr>
      <w:r>
        <w:rPr>
          <w:rFonts w:ascii="Calibri" w:hAnsi="Calibri"/>
          <w:b w:val="0"/>
          <w:i w:val="0"/>
          <w:color w:val="28251D"/>
          <w:sz w:val="21"/>
        </w:rPr>
        <w:t>If the workload touches customer-facing decisions → escalate to SR 11-7 / MRM tier assessment before Week 2.</w:t>
      </w:r>
    </w:p>
    <w:p>
      <w:pPr>
        <w:pStyle w:val="ListBullet"/>
        <w:spacing w:after="40"/>
      </w:pPr>
      <w:r>
        <w:rPr>
          <w:rFonts w:ascii="Calibri" w:hAnsi="Calibri"/>
          <w:b w:val="0"/>
          <w:i w:val="0"/>
          <w:color w:val="28251D"/>
          <w:sz w:val="21"/>
        </w:rPr>
        <w:t>If personal or health data is involved → engage privacy office before defining measurement fields.</w:t>
      </w:r>
    </w:p>
    <w:p>
      <w:pPr>
        <w:pStyle w:val="ListBullet"/>
        <w:spacing w:after="40"/>
      </w:pPr>
      <w:r>
        <w:rPr>
          <w:rFonts w:ascii="Calibri" w:hAnsi="Calibri"/>
          <w:b w:val="0"/>
          <w:i w:val="0"/>
          <w:color w:val="28251D"/>
          <w:sz w:val="21"/>
        </w:rPr>
        <w:t>If a vendor model is used and negotiation is open → attach the pricing effective date as an assumption and set a re-validation trigger when contracts refresh.</w:t>
      </w:r>
    </w:p>
    <w:p>
      <w:pPr>
        <w:keepNext/>
        <w:spacing w:before="280" w:after="120"/>
      </w:pPr>
      <w:r>
        <w:rPr>
          <w:rFonts w:ascii="Calibri" w:hAnsi="Calibri"/>
          <w:b/>
          <w:i w:val="0"/>
          <w:color w:val="01696F"/>
          <w:sz w:val="32"/>
        </w:rPr>
        <w:t>Domain overlays</w:t>
      </w:r>
    </w:p>
    <w:p>
      <w:pPr>
        <w:spacing w:after="80"/>
      </w:pPr>
      <w:r>
        <w:rPr>
          <w:rFonts w:ascii="Calibri" w:hAnsi="Calibri"/>
          <w:b w:val="0"/>
          <w:i/>
          <w:color w:val="7A7974"/>
          <w:sz w:val="21"/>
        </w:rPr>
        <w:t>This template is domain-generic. Add the following considerations depending on the domain you are operating in. For any regulated domain, the domain overlay must be socialized with compliance before publishing the artifact.</w:t>
      </w:r>
    </w:p>
    <w:p>
      <w:pPr>
        <w:keepNext/>
        <w:spacing w:before="200" w:after="120"/>
      </w:pPr>
      <w:r>
        <w:rPr>
          <w:rFonts w:ascii="Calibri" w:hAnsi="Calibri"/>
          <w:b/>
          <w:i w:val="0"/>
          <w:color w:val="28251D"/>
          <w:sz w:val="22"/>
        </w:rPr>
        <w:t>Selected: generic</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9972"/>
      </w:tblGrid>
      <w:tr>
        <w:tc>
          <w:tcPr>
            <w:tcW w:type="dxa" w:w="9972"/>
            <w:shd w:val="clear" w:color="auto" w:fill="F1EFEA"/>
          </w:tcPr>
          <w:p>
            <w:r>
              <w:rPr>
                <w:rFonts w:ascii="Calibri" w:hAnsi="Calibri"/>
                <w:b/>
                <w:i w:val="0"/>
                <w:color w:val="01696F"/>
                <w:sz w:val="21"/>
              </w:rPr>
              <w:t xml:space="preserve">Overlay:  </w:t>
            </w:r>
            <w:r>
              <w:rPr>
                <w:rFonts w:ascii="Calibri" w:hAnsi="Calibri"/>
                <w:b w:val="0"/>
                <w:i w:val="0"/>
                <w:color w:val="28251D"/>
                <w:sz w:val="21"/>
              </w:rPr>
              <w:t>Focus on business owner, technical owner, finance partner, and one governance representative.</w:t>
            </w:r>
          </w:p>
        </w:tc>
      </w:tr>
    </w:tbl>
    <w:p/>
    <w:p>
      <w:pPr>
        <w:keepNext/>
        <w:spacing w:before="200" w:after="120"/>
      </w:pPr>
      <w:r>
        <w:rPr>
          <w:rFonts w:ascii="Calibri" w:hAnsi="Calibri"/>
          <w:b/>
          <w:i w:val="0"/>
          <w:color w:val="28251D"/>
          <w:sz w:val="22"/>
        </w:rPr>
        <w:t>All overlays for reference</w:t>
      </w:r>
    </w:p>
    <w:p>
      <w:pPr>
        <w:spacing w:after="80"/>
      </w:pPr>
      <w:r>
        <w:rPr>
          <w:rFonts w:ascii="Calibri" w:hAnsi="Calibri"/>
          <w:b w:val="0"/>
          <w:i w:val="0"/>
          <w:color w:val="28251D"/>
          <w:sz w:val="21"/>
        </w:rPr>
        <w:t>generic: Focus on business owner, technical owner, finance partner, and one governance representative.</w:t>
      </w:r>
    </w:p>
    <w:p>
      <w:pPr>
        <w:spacing w:after="80"/>
      </w:pPr>
      <w:r>
        <w:rPr>
          <w:rFonts w:ascii="Calibri" w:hAnsi="Calibri"/>
          <w:b w:val="0"/>
          <w:i w:val="0"/>
          <w:color w:val="28251D"/>
          <w:sz w:val="21"/>
        </w:rPr>
        <w:t>banking: Add second-line risk (independent model validation), compliance officer, third-party risk manager, and data-use committee approval. Reference SR 11-7 tiering explicitly and align to the firm's MRM policy for validation cadence.</w:t>
      </w:r>
    </w:p>
    <w:p>
      <w:pPr>
        <w:spacing w:after="80"/>
      </w:pPr>
      <w:r>
        <w:rPr>
          <w:rFonts w:ascii="Calibri" w:hAnsi="Calibri"/>
          <w:b w:val="0"/>
          <w:i w:val="0"/>
          <w:color w:val="28251D"/>
          <w:sz w:val="21"/>
        </w:rPr>
        <w:t>retail: Add merchandising or marketing owner (revenue attribution), PCI compliance representative if payment data touched, and vendor management for any customer-data enrichment vendors.</w:t>
      </w:r>
    </w:p>
    <w:p>
      <w:pPr>
        <w:spacing w:after="80"/>
      </w:pPr>
      <w:r>
        <w:rPr>
          <w:rFonts w:ascii="Calibri" w:hAnsi="Calibri"/>
          <w:b w:val="0"/>
          <w:i w:val="0"/>
          <w:color w:val="28251D"/>
          <w:sz w:val="21"/>
        </w:rPr>
        <w:t>energy_oil_gas: Add OT/IT boundary representative (never let AI systems touch SCADA without explicit safety case), HSE (health/safety/environment) approver, and reliability engineering lead. Document isolation from safety-instrumented systems.</w:t>
      </w:r>
    </w:p>
    <w:p>
      <w:pPr>
        <w:spacing w:after="80"/>
      </w:pPr>
      <w:r>
        <w:rPr>
          <w:rFonts w:ascii="Calibri" w:hAnsi="Calibri"/>
          <w:b w:val="0"/>
          <w:i w:val="0"/>
          <w:color w:val="28251D"/>
          <w:sz w:val="21"/>
        </w:rPr>
        <w:t>aerospace: Add safety engineering, cyber (AS9100/DO-326A context), export control (ITAR/EAR) representative. Even if AI is not in the flight path, export classification affects data movement.</w:t>
      </w:r>
    </w:p>
    <w:p>
      <w:pPr>
        <w:spacing w:after="80"/>
      </w:pPr>
      <w:r>
        <w:rPr>
          <w:rFonts w:ascii="Calibri" w:hAnsi="Calibri"/>
          <w:b w:val="0"/>
          <w:i w:val="0"/>
          <w:color w:val="28251D"/>
          <w:sz w:val="21"/>
        </w:rPr>
        <w:t>public_sector: Add authorization official (ATO owner), privacy officer, records management, procurement (FAR/DFARS), and FedRAMP/StateRAMP boundary owner if cloud-hosted.</w:t>
      </w:r>
    </w:p>
    <w:p>
      <w:pPr>
        <w:spacing w:after="80"/>
      </w:pPr>
      <w:r>
        <w:rPr>
          <w:rFonts w:ascii="Calibri" w:hAnsi="Calibri"/>
          <w:b w:val="0"/>
          <w:i w:val="0"/>
          <w:color w:val="28251D"/>
          <w:sz w:val="21"/>
        </w:rPr>
        <w:t>telecom: Add CPNI custodian, network operations lead, and vendor management. Explicitly document subscriber-data flows.</w:t>
      </w:r>
    </w:p>
    <w:p>
      <w:pPr>
        <w:spacing w:after="80"/>
      </w:pPr>
      <w:r>
        <w:rPr>
          <w:rFonts w:ascii="Calibri" w:hAnsi="Calibri"/>
          <w:b w:val="0"/>
          <w:i w:val="0"/>
          <w:color w:val="28251D"/>
          <w:sz w:val="21"/>
        </w:rPr>
        <w:t>entertainment: Add IP/rights holder, talent-guild compliance where relevant, and content-safety reviewer. Log the training-data provenance question explicitly.</w:t>
      </w:r>
    </w:p>
    <w:p>
      <w:r>
        <w:br w:type="page"/>
      </w:r>
    </w:p>
    <w:p>
      <w:pPr>
        <w:keepNext/>
        <w:spacing w:before="280" w:after="120"/>
      </w:pPr>
      <w:r>
        <w:rPr>
          <w:rFonts w:ascii="Calibri" w:hAnsi="Calibri"/>
          <w:b/>
          <w:i w:val="0"/>
          <w:color w:val="01696F"/>
          <w:sz w:val="32"/>
        </w:rPr>
        <w:t>Fillable form</w:t>
      </w:r>
    </w:p>
    <w:p>
      <w:pPr>
        <w:spacing w:after="80"/>
      </w:pPr>
      <w:r>
        <w:rPr>
          <w:rFonts w:ascii="Calibri" w:hAnsi="Calibri"/>
          <w:b w:val="0"/>
          <w:i/>
          <w:color w:val="7A7974"/>
          <w:sz w:val="21"/>
        </w:rPr>
        <w:t>Complete the fields below. When rendered from the FinOps AI Portfolio application, these values are populated automatically from the project record.</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986"/>
        <w:gridCol w:w="4986"/>
      </w:tblGrid>
      <w:tr>
        <w:tc>
          <w:tcPr>
            <w:tcW w:type="dxa" w:w="3168"/>
            <w:shd w:val="clear" w:color="auto" w:fill="F1EFEA"/>
          </w:tcPr>
          <w:p>
            <w:r>
              <w:rPr>
                <w:rFonts w:ascii="Calibri" w:hAnsi="Calibri"/>
                <w:b/>
                <w:i w:val="0"/>
                <w:color w:val="28251D"/>
                <w:sz w:val="20"/>
              </w:rPr>
              <w:t>Use case name</w:t>
            </w:r>
          </w:p>
        </w:tc>
        <w:tc>
          <w:tcPr>
            <w:tcW w:type="dxa" w:w="6192"/>
          </w:tcPr>
          <w:p>
            <w:r>
              <w:rPr>
                <w:rFonts w:ascii="Calibri" w:hAnsi="Calibri"/>
                <w:b w:val="0"/>
                <w:i w:val="0"/>
                <w:color w:val="28251D"/>
                <w:sz w:val="20"/>
              </w:rPr>
            </w:r>
          </w:p>
          <w:p>
            <w:r>
              <w:rPr>
                <w:rFonts w:ascii="Calibri" w:hAnsi="Calibri"/>
                <w:b w:val="0"/>
                <w:i/>
                <w:color w:val="7A7974"/>
                <w:sz w:val="18"/>
              </w:rPr>
              <w:t>Short business-friendly name.</w:t>
            </w:r>
          </w:p>
        </w:tc>
      </w:tr>
      <w:tr>
        <w:tc>
          <w:tcPr>
            <w:tcW w:type="dxa" w:w="3168"/>
            <w:shd w:val="clear" w:color="auto" w:fill="F1EFEA"/>
          </w:tcPr>
          <w:p>
            <w:r>
              <w:rPr>
                <w:rFonts w:ascii="Calibri" w:hAnsi="Calibri"/>
                <w:b/>
                <w:i w:val="0"/>
                <w:color w:val="28251D"/>
                <w:sz w:val="20"/>
              </w:rPr>
              <w:t>Line of business</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Domain overlay</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Business owner</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Product owner</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Technical owner</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Finance partner</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Risk/compliance partner</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Workload one-paragraph description</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In-scope components (checklist)</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Out-of-scope components</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Environments</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Regions / cloud accounts</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Data classification constraints</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Cost objective</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Performance objective (latency/SLA)</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Quality objective</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Adoption objective</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Governance objective</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Cost boundary statement (one paragraph)</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Measurement approach</w:t>
            </w:r>
          </w:p>
        </w:tc>
        <w:tc>
          <w:tcPr>
            <w:tcW w:type="dxa" w:w="6192"/>
          </w:tcPr>
          <w:p>
            <w:r>
              <w:rPr>
                <w:rFonts w:ascii="Calibri" w:hAnsi="Calibri"/>
                <w:b w:val="0"/>
                <w:i w:val="0"/>
                <w:color w:val="28251D"/>
                <w:sz w:val="20"/>
              </w:rPr>
            </w:r>
          </w:p>
        </w:tc>
      </w:tr>
      <w:tr>
        <w:tc>
          <w:tcPr>
            <w:tcW w:type="dxa" w:w="3168"/>
            <w:shd w:val="clear" w:color="auto" w:fill="F1EFEA"/>
          </w:tcPr>
          <w:p>
            <w:r>
              <w:rPr>
                <w:rFonts w:ascii="Calibri" w:hAnsi="Calibri"/>
                <w:b/>
                <w:i w:val="0"/>
                <w:color w:val="28251D"/>
                <w:sz w:val="20"/>
              </w:rPr>
              <w:t>Target dates by phase</w:t>
            </w:r>
          </w:p>
        </w:tc>
        <w:tc>
          <w:tcPr>
            <w:tcW w:type="dxa" w:w="6192"/>
          </w:tcPr>
          <w:p>
            <w:r>
              <w:rPr>
                <w:rFonts w:ascii="Calibri" w:hAnsi="Calibri"/>
                <w:b w:val="0"/>
                <w:i w:val="0"/>
                <w:color w:val="28251D"/>
                <w:sz w:val="20"/>
              </w:rPr>
            </w:r>
          </w:p>
        </w:tc>
      </w:tr>
    </w:tbl>
    <w:p>
      <w:pPr>
        <w:keepNext/>
        <w:spacing w:before="280" w:after="120"/>
      </w:pPr>
      <w:r>
        <w:rPr>
          <w:rFonts w:ascii="Calibri" w:hAnsi="Calibri"/>
          <w:b/>
          <w:i w:val="0"/>
          <w:color w:val="01696F"/>
          <w:sz w:val="32"/>
        </w:rPr>
        <w:t>Decision log</w:t>
      </w:r>
    </w:p>
    <w:tbl>
      <w:tblPr>
        <w:tblW w:type="auto" w:w="0"/>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994"/>
        <w:gridCol w:w="1994"/>
        <w:gridCol w:w="1994"/>
        <w:gridCol w:w="1994"/>
        <w:gridCol w:w="1994"/>
      </w:tblGrid>
      <w:tr>
        <w:tc>
          <w:tcPr>
            <w:tcW w:type="dxa" w:w="1994"/>
            <w:shd w:val="clear" w:color="auto" w:fill="01696F"/>
            <w:vAlign w:val="center"/>
          </w:tcPr>
          <w:p>
            <w:r>
              <w:rPr>
                <w:rFonts w:ascii="Calibri" w:hAnsi="Calibri"/>
                <w:b/>
                <w:i w:val="0"/>
                <w:color w:val="FFFFFF"/>
                <w:sz w:val="20"/>
              </w:rPr>
              <w:t>Date</w:t>
            </w:r>
          </w:p>
        </w:tc>
        <w:tc>
          <w:tcPr>
            <w:tcW w:type="dxa" w:w="1994"/>
            <w:shd w:val="clear" w:color="auto" w:fill="01696F"/>
            <w:vAlign w:val="center"/>
          </w:tcPr>
          <w:p>
            <w:r>
              <w:rPr>
                <w:rFonts w:ascii="Calibri" w:hAnsi="Calibri"/>
                <w:b/>
                <w:i w:val="0"/>
                <w:color w:val="FFFFFF"/>
                <w:sz w:val="20"/>
              </w:rPr>
              <w:t>Decision</w:t>
            </w:r>
          </w:p>
        </w:tc>
        <w:tc>
          <w:tcPr>
            <w:tcW w:type="dxa" w:w="1994"/>
            <w:shd w:val="clear" w:color="auto" w:fill="01696F"/>
            <w:vAlign w:val="center"/>
          </w:tcPr>
          <w:p>
            <w:r>
              <w:rPr>
                <w:rFonts w:ascii="Calibri" w:hAnsi="Calibri"/>
                <w:b/>
                <w:i w:val="0"/>
                <w:color w:val="FFFFFF"/>
                <w:sz w:val="20"/>
              </w:rPr>
              <w:t>Owner</w:t>
            </w:r>
          </w:p>
        </w:tc>
        <w:tc>
          <w:tcPr>
            <w:tcW w:type="dxa" w:w="1994"/>
            <w:shd w:val="clear" w:color="auto" w:fill="01696F"/>
            <w:vAlign w:val="center"/>
          </w:tcPr>
          <w:p>
            <w:r>
              <w:rPr>
                <w:rFonts w:ascii="Calibri" w:hAnsi="Calibri"/>
                <w:b/>
                <w:i w:val="0"/>
                <w:color w:val="FFFFFF"/>
                <w:sz w:val="20"/>
              </w:rPr>
              <w:t>Rationale</w:t>
            </w:r>
          </w:p>
        </w:tc>
        <w:tc>
          <w:tcPr>
            <w:tcW w:type="dxa" w:w="1994"/>
            <w:shd w:val="clear" w:color="auto" w:fill="01696F"/>
            <w:vAlign w:val="center"/>
          </w:tcPr>
          <w:p>
            <w:r>
              <w:rPr>
                <w:rFonts w:ascii="Calibri" w:hAnsi="Calibri"/>
                <w:b/>
                <w:i w:val="0"/>
                <w:color w:val="FFFFFF"/>
                <w:sz w:val="20"/>
              </w:rPr>
              <w:t>Link/Artifact</w:t>
            </w:r>
          </w:p>
        </w:tc>
      </w:tr>
      <w:tr>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r>
      <w:tr>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r>
      <w:tr>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c>
          <w:tcPr>
            <w:tcW w:type="dxa" w:w="1994"/>
          </w:tcPr>
          <w:p>
            <w:r>
              <w:rPr>
                <w:rFonts w:ascii="Calibri" w:hAnsi="Calibri"/>
                <w:b w:val="0"/>
                <w:i w:val="0"/>
                <w:color w:val="28251D"/>
                <w:sz w:val="20"/>
              </w:rPr>
            </w:r>
          </w:p>
        </w:tc>
      </w:tr>
      <w:tr>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c>
          <w:tcPr>
            <w:tcW w:type="dxa" w:w="1994"/>
            <w:shd w:val="clear" w:color="auto" w:fill="F1EFEA"/>
          </w:tcPr>
          <w:p>
            <w:r>
              <w:rPr>
                <w:rFonts w:ascii="Calibri" w:hAnsi="Calibri"/>
                <w:b w:val="0"/>
                <w:i w:val="0"/>
                <w:color w:val="28251D"/>
                <w:sz w:val="20"/>
              </w:rPr>
            </w:r>
          </w:p>
        </w:tc>
      </w:tr>
    </w:tbl>
    <w:p>
      <w:pPr>
        <w:keepNext/>
        <w:spacing w:before="280" w:after="120"/>
      </w:pPr>
      <w:r>
        <w:rPr>
          <w:rFonts w:ascii="Calibri" w:hAnsi="Calibri"/>
          <w:b/>
          <w:i w:val="0"/>
          <w:color w:val="01696F"/>
          <w:sz w:val="32"/>
        </w:rPr>
        <w:t>Notes</w:t>
      </w:r>
    </w:p>
    <w:p>
      <w:pPr>
        <w:spacing w:after="80"/>
      </w:pPr>
      <w:r>
        <w:rPr>
          <w:rFonts w:ascii="Calibri" w:hAnsi="Calibri"/>
          <w:b w:val="0"/>
          <w:i w:val="0"/>
          <w:color w:val="28251D"/>
          <w:sz w:val="21"/>
        </w:rPr>
        <w:t>Use this space for open questions, follow-ups, and links to related artifacts.</w:t>
      </w:r>
    </w:p>
    <w:p/>
    <w:p/>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A7974"/>
        <w:sz w:val="18"/>
      </w:rPr>
      <w:t>Artifact 01 · Engagement Kickoff &amp; Scope · Generated 2026-07-07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