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6"/>
        </w:rPr>
        <w:t>Artifact 03</w:t>
      </w:r>
    </w:p>
    <w:p>
      <w:pPr>
        <w:keepNext/>
        <w:spacing w:before="200" w:after="120"/>
      </w:pPr>
      <w:r>
        <w:rPr>
          <w:rFonts w:ascii="Calibri" w:hAnsi="Calibri"/>
          <w:b/>
          <w:i w:val="0"/>
          <w:color w:val="01696F"/>
          <w:sz w:val="44"/>
        </w:rPr>
        <w:t>AI Cost Boundary, Assumptions &amp; Pricing Table</w:t>
      </w:r>
    </w:p>
    <w:p>
      <w:pPr>
        <w:spacing w:after="80"/>
      </w:pPr>
      <w:r>
        <w:rPr>
          <w:rFonts w:ascii="Calibri" w:hAnsi="Calibri"/>
          <w:b w:val="0"/>
          <w:i/>
          <w:color w:val="7A7974"/>
          <w:sz w:val="22"/>
        </w:rPr>
        <w:t>FinOps AI Principal Consultant — Reference Manual Template</w:t>
      </w:r>
    </w:p>
    <w:p/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Role context — why the Principal AI Solutions Consultant owns this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This artifact is the auditable spine of the cost model. Finance and second-line risk will read this before they read your forecast. Every unit price, every effective date, every assumption is a defense against 'where did this number come from?' months later. As Principal Consultant you are personally accountable for the assumption confidence ratings.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Purpose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Make the cost model defensible by stating assumptions and unit prices in one place.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When to use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Week 2 — after decomposition, before forecast. Refresh every vendor pricing change.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Inputs needed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Current vendor rate cards (with contract discounts if applicable)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Effective dates of each contract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Pilot traffic samples for token distributions (or benchmark analogs if no pilot yet)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Key concepts (glossary)</w:t>
      </w:r>
    </w:p>
    <w:p>
      <w:pPr>
        <w:spacing w:after="80"/>
      </w:pPr>
      <w:r>
        <w:rPr>
          <w:rFonts w:ascii="Calibri" w:hAnsi="Calibri"/>
          <w:b w:val="0"/>
          <w:i/>
          <w:color w:val="7A7974"/>
          <w:sz w:val="21"/>
        </w:rPr>
        <w:t>If you have never done AI FinOps before, read this section carefully. Each concept is used elsewhere in this artifact and across the pack.</w:t>
      </w:r>
    </w:p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2"/>
        </w:rPr>
        <w:t>Effective-date discipline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Definition: Every unit price is tagged with the date it became effective and the source URL or contract ID.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Why it matters: Vendor prices change 2–4 times/year. Undated prices make the forecast un-reproducible.</w:t>
      </w:r>
    </w:p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2"/>
        </w:rPr>
        <w:t>Assumption confidence rating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Definition: H = observed from pilot logs; M = triangulated from similar workloads; L = expert guess.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Why it matters: Sensitivity analysis focuses on Low-confidence assumptions. Without this rating, you sensitize the wrong variables.</w:t>
      </w:r>
    </w:p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2"/>
        </w:rPr>
        <w:t>Cached input pricing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Definition: Vendors offer 50–90% discounts on repeated portions of prompts (system prompts, few-shot examples) when marked cacheable. Available on OpenAI, Anthropic, and Google.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Why it matters: For any workload with a large system prompt, enabling prompt caching is one of the highest-leverage optimizations and belongs on the pricing table from day one.</w:t>
      </w:r>
    </w:p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2"/>
        </w:rPr>
        <w:t>Blended token price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Definition: The realized $/1K tokens after accounting for mix of input, cached input, and output. Always higher than input list price and lower than output list price.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Why it matters: Reporting a single 'model cost' number is misleading. Track input, cached, and output separately, then compute the blended rate.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How to use this artifact (step-by-step)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Write the one-paragraph cost boundary. Read it out loud to the finance partner and ask them to sign it.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Populate the unit pricing table with source, currency, effective date, and notes.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For any assumption used across tabs (avg tokens/request, cache hit, retry rate), give a value AND a confidence rating AND a source.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Document rounding conventions. Small differences accumulate over millions of requests.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Set a calendar reminder to revalidate pricing every 90 days.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Worked example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4D1CA"/>
          <w:left w:val="single" w:sz="4" w:space="0" w:color="D4D1CA"/>
          <w:bottom w:val="single" w:sz="4" w:space="0" w:color="D4D1CA"/>
          <w:right w:val="single" w:sz="4" w:space="0" w:color="D4D1CA"/>
          <w:insideH w:val="single" w:sz="4" w:space="0" w:color="D4D1CA"/>
          <w:insideV w:val="single" w:sz="4" w:space="0" w:color="D4D1CA"/>
        </w:tblBorders>
      </w:tblPr>
      <w:tblGrid>
        <w:gridCol w:w="9972"/>
      </w:tblGrid>
      <w:tr>
        <w:tc>
          <w:tcPr>
            <w:tcW w:type="dxa" w:w="9972"/>
            <w:shd w:val="clear" w:color="auto" w:fill="F1EFEA"/>
          </w:tcPr>
          <w:p>
            <w:r>
              <w:rPr>
                <w:rFonts w:ascii="Calibri" w:hAnsi="Calibri"/>
                <w:b/>
                <w:i w:val="0"/>
                <w:color w:val="01696F"/>
                <w:sz w:val="21"/>
              </w:rPr>
              <w:t xml:space="preserve">Example:  </w:t>
            </w:r>
            <w:r>
              <w:rPr>
                <w:rFonts w:ascii="Calibri" w:hAnsi="Calibri"/>
                <w:b w:val="0"/>
                <w:i w:val="0"/>
                <w:color w:val="28251D"/>
                <w:sz w:val="21"/>
              </w:rPr>
              <w:t>Vendor: Anthropic Claude Sonnet 4.5. Input $3/M tokens, cached input $0.30/M tokens, output $15/M tokens, effective 2025-09-29 per Anthropic pricing page. Vector DB: Pinecone Serverless p1 pod-hours at $0.096/hour with $0.25/M read units, effective 2025-Q3 contract. Embeddings: OpenAI text-embedding-3-large at $0.13/M tokens. Shared assumptions: avg input tokens/request 2,500 (H, pilot log 2025-11); avg output tokens/request 400 (H); cache hit rate 45% (M, target); retry rate 6% (M).</w:t>
            </w:r>
          </w:p>
        </w:tc>
      </w:tr>
    </w:tbl>
    <w:p/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Common pitfalls (and how to avoid them)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Using list price when your contract has a discount. Or vice versa when the discount expires.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Ignoring cached input pricing when your system prompt is 4,000+ tokens.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Confusing $/1K tokens and $/1M tokens units. Modern APIs quote per million; older docs quote per thousand.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Currency omission — for global programs, state USD/EUR/local and the FX assumption.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Decision tree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If contract expires within the forecast horizon → model a 'contract-refresh' scenario in Artifact 9.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If a vendor introduces a new tier (e.g., 'Batch API' at 50% off) → decide whether it is in the base case or in an optimization option (Artifact 10).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Domain overlays</w:t>
      </w:r>
    </w:p>
    <w:p>
      <w:pPr>
        <w:spacing w:after="80"/>
      </w:pPr>
      <w:r>
        <w:rPr>
          <w:rFonts w:ascii="Calibri" w:hAnsi="Calibri"/>
          <w:b w:val="0"/>
          <w:i/>
          <w:color w:val="7A7974"/>
          <w:sz w:val="21"/>
        </w:rPr>
        <w:t>This template is domain-generic. Add the following considerations depending on the domain you are operating in. For any regulated domain, the domain overlay must be socialized with compliance before publishing the artifact.</w:t>
      </w:r>
    </w:p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2"/>
        </w:rPr>
        <w:t>Selected: generic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4D1CA"/>
          <w:left w:val="single" w:sz="4" w:space="0" w:color="D4D1CA"/>
          <w:bottom w:val="single" w:sz="4" w:space="0" w:color="D4D1CA"/>
          <w:right w:val="single" w:sz="4" w:space="0" w:color="D4D1CA"/>
          <w:insideH w:val="single" w:sz="4" w:space="0" w:color="D4D1CA"/>
          <w:insideV w:val="single" w:sz="4" w:space="0" w:color="D4D1CA"/>
        </w:tblBorders>
      </w:tblPr>
      <w:tblGrid>
        <w:gridCol w:w="9972"/>
      </w:tblGrid>
      <w:tr>
        <w:tc>
          <w:tcPr>
            <w:tcW w:type="dxa" w:w="9972"/>
            <w:shd w:val="clear" w:color="auto" w:fill="F1EFEA"/>
          </w:tcPr>
          <w:p>
            <w:r>
              <w:rPr>
                <w:rFonts w:ascii="Calibri" w:hAnsi="Calibri"/>
                <w:b/>
                <w:i w:val="0"/>
                <w:color w:val="01696F"/>
                <w:sz w:val="21"/>
              </w:rPr>
              <w:t xml:space="preserve">Overlay:  </w:t>
            </w:r>
            <w:r>
              <w:rPr>
                <w:rFonts w:ascii="Calibri" w:hAnsi="Calibri"/>
                <w:b w:val="0"/>
                <w:i w:val="0"/>
                <w:color w:val="28251D"/>
                <w:sz w:val="21"/>
              </w:rPr>
              <w:t>One boundary paragraph; one pricing table; one assumptions table.</w:t>
            </w:r>
          </w:p>
        </w:tc>
      </w:tr>
    </w:tbl>
    <w:p/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2"/>
        </w:rPr>
        <w:t>All overlays for reference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generic: One boundary paragraph; one pricing table; one assumptions table.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banking: Add 'model inventory ID' column to the pricing table so entries tie back to the model risk inventory. Include validation-cost line items (independent-validation hours × loaded rate).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retail: Add seasonal-load assumption (peak/valley multiplier). Peak volume can be 5–15x average.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energy_oil_gas: Add data egress line item — remote sites often incur meaningful egress costs.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aerospace: Add classification-boundary column — some models cannot process ITAR-controlled inputs.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public_sector: Add FedRAMP-authorized-vendor column. If a component is not authorized, it is not in the boundary.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telecom: Add per-region regulatory constraint column (data localization).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entertainment: Add training-data-provenance column — some models are inadmissible for certain productions.</w:t>
      </w:r>
    </w:p>
    <w:p>
      <w:r>
        <w:br w:type="page"/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Fillable form</w:t>
      </w:r>
    </w:p>
    <w:p>
      <w:pPr>
        <w:spacing w:after="80"/>
      </w:pPr>
      <w:r>
        <w:rPr>
          <w:rFonts w:ascii="Calibri" w:hAnsi="Calibri"/>
          <w:b w:val="0"/>
          <w:i/>
          <w:color w:val="7A7974"/>
          <w:sz w:val="21"/>
        </w:rPr>
        <w:t>Complete the fields below. When rendered from the FinOps AI Portfolio application, these values are populated automatically from the project record.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4D1CA"/>
          <w:left w:val="single" w:sz="4" w:space="0" w:color="D4D1CA"/>
          <w:bottom w:val="single" w:sz="4" w:space="0" w:color="D4D1CA"/>
          <w:right w:val="single" w:sz="4" w:space="0" w:color="D4D1CA"/>
          <w:insideH w:val="single" w:sz="4" w:space="0" w:color="D4D1CA"/>
          <w:insideV w:val="single" w:sz="4" w:space="0" w:color="D4D1CA"/>
        </w:tblBorders>
      </w:tblPr>
      <w:tblGrid>
        <w:gridCol w:w="4986"/>
        <w:gridCol w:w="4986"/>
      </w:tblGrid>
      <w:tr>
        <w:tc>
          <w:tcPr>
            <w:tcW w:type="dxa" w:w="3168"/>
            <w:shd w:val="clear" w:color="auto" w:fill="F1EFEA"/>
          </w:tcPr>
          <w:p>
            <w:r>
              <w:rPr>
                <w:rFonts w:ascii="Calibri" w:hAnsi="Calibri"/>
                <w:b/>
                <w:i w:val="0"/>
                <w:color w:val="28251D"/>
                <w:sz w:val="20"/>
              </w:rPr>
              <w:t>Cost boundary statement (one paragraph)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3168"/>
            <w:shd w:val="clear" w:color="auto" w:fill="F1EFEA"/>
          </w:tcPr>
          <w:p>
            <w:r>
              <w:rPr>
                <w:rFonts w:ascii="Calibri" w:hAnsi="Calibri"/>
                <w:b/>
                <w:i w:val="0"/>
                <w:color w:val="28251D"/>
                <w:sz w:val="20"/>
              </w:rPr>
              <w:t>Rounding and estimation conventions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3168"/>
            <w:shd w:val="clear" w:color="auto" w:fill="F1EFEA"/>
          </w:tcPr>
          <w:p>
            <w:r>
              <w:rPr>
                <w:rFonts w:ascii="Calibri" w:hAnsi="Calibri"/>
                <w:b/>
                <w:i w:val="0"/>
                <w:color w:val="28251D"/>
                <w:sz w:val="20"/>
              </w:rPr>
              <w:t>Reporting currency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3168"/>
            <w:shd w:val="clear" w:color="auto" w:fill="F1EFEA"/>
          </w:tcPr>
          <w:p>
            <w:r>
              <w:rPr>
                <w:rFonts w:ascii="Calibri" w:hAnsi="Calibri"/>
                <w:b/>
                <w:i w:val="0"/>
                <w:color w:val="28251D"/>
                <w:sz w:val="20"/>
              </w:rPr>
              <w:t>FX assumption (if multi-currency)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Unit pricing sources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4D1CA"/>
          <w:left w:val="single" w:sz="4" w:space="0" w:color="D4D1CA"/>
          <w:bottom w:val="single" w:sz="4" w:space="0" w:color="D4D1CA"/>
          <w:right w:val="single" w:sz="4" w:space="0" w:color="D4D1CA"/>
          <w:insideH w:val="single" w:sz="4" w:space="0" w:color="D4D1CA"/>
          <w:insideV w:val="single" w:sz="4" w:space="0" w:color="D4D1CA"/>
        </w:tblBorders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Cost component</w:t>
            </w:r>
          </w:p>
        </w:tc>
        <w:tc>
          <w:tcPr>
            <w:tcW w:type="dxa" w:w="1662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Unit</w:t>
            </w:r>
          </w:p>
        </w:tc>
        <w:tc>
          <w:tcPr>
            <w:tcW w:type="dxa" w:w="1662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Pricing source</w:t>
            </w:r>
          </w:p>
        </w:tc>
        <w:tc>
          <w:tcPr>
            <w:tcW w:type="dxa" w:w="1662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Currency</w:t>
            </w:r>
          </w:p>
        </w:tc>
        <w:tc>
          <w:tcPr>
            <w:tcW w:type="dxa" w:w="1662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Effective date</w:t>
            </w:r>
          </w:p>
        </w:tc>
        <w:tc>
          <w:tcPr>
            <w:tcW w:type="dxa" w:w="1662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1662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1662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662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Shared assumptions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4D1CA"/>
          <w:left w:val="single" w:sz="4" w:space="0" w:color="D4D1CA"/>
          <w:bottom w:val="single" w:sz="4" w:space="0" w:color="D4D1CA"/>
          <w:right w:val="single" w:sz="4" w:space="0" w:color="D4D1CA"/>
          <w:insideH w:val="single" w:sz="4" w:space="0" w:color="D4D1CA"/>
          <w:insideV w:val="single" w:sz="4" w:space="0" w:color="D4D1CA"/>
        </w:tblBorders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Assumption</w:t>
            </w:r>
          </w:p>
        </w:tc>
        <w:tc>
          <w:tcPr>
            <w:tcW w:type="dxa" w:w="1994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Value</w:t>
            </w:r>
          </w:p>
        </w:tc>
        <w:tc>
          <w:tcPr>
            <w:tcW w:type="dxa" w:w="1994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Basis</w:t>
            </w:r>
          </w:p>
        </w:tc>
        <w:tc>
          <w:tcPr>
            <w:tcW w:type="dxa" w:w="1994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Confidence (H/M/L)</w:t>
            </w:r>
          </w:p>
        </w:tc>
        <w:tc>
          <w:tcPr>
            <w:tcW w:type="dxa" w:w="1994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Risk if wrong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199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199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1994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Notes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Use this space for open questions, follow-ups, and links to related artifacts.</w:t>
      </w:r>
    </w:p>
    <w:p/>
    <w:p/>
    <w:p/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7A7974"/>
        <w:sz w:val="18"/>
      </w:rPr>
      <w:t>Artifact 03 · AI Cost Boundary, Assumptions &amp; Pricing Table · Generated 2026-07-07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