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120"/>
      </w:pPr>
      <w:r>
        <w:rPr>
          <w:rFonts w:ascii="Calibri" w:hAnsi="Calibri"/>
          <w:b/>
          <w:i w:val="0"/>
          <w:color w:val="28251D"/>
          <w:sz w:val="26"/>
        </w:rPr>
        <w:t>Artifact 04</w:t>
      </w:r>
    </w:p>
    <w:p>
      <w:pPr>
        <w:keepNext/>
        <w:spacing w:before="200" w:after="120"/>
      </w:pPr>
      <w:r>
        <w:rPr>
          <w:rFonts w:ascii="Calibri" w:hAnsi="Calibri"/>
          <w:b/>
          <w:i w:val="0"/>
          <w:color w:val="01696F"/>
          <w:sz w:val="44"/>
        </w:rPr>
        <w:t>AI Cost Driver Map</w:t>
      </w:r>
    </w:p>
    <w:p>
      <w:pPr>
        <w:spacing w:after="80"/>
      </w:pPr>
      <w:r>
        <w:rPr>
          <w:rFonts w:ascii="Calibri" w:hAnsi="Calibri"/>
          <w:b w:val="0"/>
          <w:i/>
          <w:color w:val="7A7974"/>
          <w:sz w:val="22"/>
        </w:rPr>
        <w:t>FinOps AI Principal Consultant — Reference Manual Template</w:t>
      </w:r>
    </w:p>
    <w:p/>
    <w:p>
      <w:pPr>
        <w:keepNext/>
        <w:spacing w:before="280" w:after="120"/>
      </w:pPr>
      <w:r>
        <w:rPr>
          <w:rFonts w:ascii="Calibri" w:hAnsi="Calibri"/>
          <w:b/>
          <w:i w:val="0"/>
          <w:color w:val="01696F"/>
          <w:sz w:val="32"/>
        </w:rPr>
        <w:t>Role context — why the Principal AI Solutions Consultant owns this</w:t>
      </w:r>
    </w:p>
    <w:p>
      <w:pPr>
        <w:spacing w:after="80"/>
      </w:pPr>
      <w:r>
        <w:rPr>
          <w:rFonts w:ascii="Calibri" w:hAnsi="Calibri"/>
          <w:b w:val="0"/>
          <w:i w:val="0"/>
          <w:color w:val="28251D"/>
          <w:sz w:val="21"/>
        </w:rPr>
        <w:t>The Cost Driver Map is the workhorse of AI FinOps. Every dollar you forecast, allocate, or optimize flows through this table. Principal consultants who cannot produce this table on demand cannot lead an AI FinOps program.</w:t>
      </w:r>
    </w:p>
    <w:p>
      <w:pPr>
        <w:keepNext/>
        <w:spacing w:before="280" w:after="120"/>
      </w:pPr>
      <w:r>
        <w:rPr>
          <w:rFonts w:ascii="Calibri" w:hAnsi="Calibri"/>
          <w:b/>
          <w:i w:val="0"/>
          <w:color w:val="01696F"/>
          <w:sz w:val="32"/>
        </w:rPr>
        <w:t>Purpose</w:t>
      </w:r>
    </w:p>
    <w:p>
      <w:pPr>
        <w:spacing w:after="80"/>
      </w:pPr>
      <w:r>
        <w:rPr>
          <w:rFonts w:ascii="Calibri" w:hAnsi="Calibri"/>
          <w:b w:val="0"/>
          <w:i w:val="0"/>
          <w:color w:val="28251D"/>
          <w:sz w:val="21"/>
        </w:rPr>
        <w:t>Provide the backbone table linking each cost driver to a precise definition, measurement signal, and unit cost.</w:t>
      </w:r>
    </w:p>
    <w:p>
      <w:pPr>
        <w:keepNext/>
        <w:spacing w:before="280" w:after="120"/>
      </w:pPr>
      <w:r>
        <w:rPr>
          <w:rFonts w:ascii="Calibri" w:hAnsi="Calibri"/>
          <w:b/>
          <w:i w:val="0"/>
          <w:color w:val="01696F"/>
          <w:sz w:val="32"/>
        </w:rPr>
        <w:t>When to use</w:t>
      </w:r>
    </w:p>
    <w:p>
      <w:pPr>
        <w:spacing w:after="80"/>
      </w:pPr>
      <w:r>
        <w:rPr>
          <w:rFonts w:ascii="Calibri" w:hAnsi="Calibri"/>
          <w:b w:val="0"/>
          <w:i w:val="0"/>
          <w:color w:val="28251D"/>
          <w:sz w:val="21"/>
        </w:rPr>
        <w:t>Week 2, after Artifacts 2 and 3. Update whenever architecture or pricing changes.</w:t>
      </w:r>
    </w:p>
    <w:p>
      <w:pPr>
        <w:keepNext/>
        <w:spacing w:before="280" w:after="120"/>
      </w:pPr>
      <w:r>
        <w:rPr>
          <w:rFonts w:ascii="Calibri" w:hAnsi="Calibri"/>
          <w:b/>
          <w:i w:val="0"/>
          <w:color w:val="01696F"/>
          <w:sz w:val="32"/>
        </w:rPr>
        <w:t>Inputs needed</w:t>
      </w:r>
    </w:p>
    <w:p>
      <w:pPr>
        <w:pStyle w:val="ListBullet"/>
        <w:spacing w:after="40"/>
      </w:pPr>
      <w:r>
        <w:rPr>
          <w:rFonts w:ascii="Calibri" w:hAnsi="Calibri"/>
          <w:b w:val="0"/>
          <w:i w:val="0"/>
          <w:color w:val="28251D"/>
          <w:sz w:val="21"/>
        </w:rPr>
        <w:t>Workload decomposition (Artifact 2)</w:t>
      </w:r>
    </w:p>
    <w:p>
      <w:pPr>
        <w:pStyle w:val="ListBullet"/>
        <w:spacing w:after="40"/>
      </w:pPr>
      <w:r>
        <w:rPr>
          <w:rFonts w:ascii="Calibri" w:hAnsi="Calibri"/>
          <w:b w:val="0"/>
          <w:i w:val="0"/>
          <w:color w:val="28251D"/>
          <w:sz w:val="21"/>
        </w:rPr>
        <w:t>Pricing table (Artifact 3)</w:t>
      </w:r>
    </w:p>
    <w:p>
      <w:pPr>
        <w:pStyle w:val="ListBullet"/>
        <w:spacing w:after="40"/>
      </w:pPr>
      <w:r>
        <w:rPr>
          <w:rFonts w:ascii="Calibri" w:hAnsi="Calibri"/>
          <w:b w:val="0"/>
          <w:i w:val="0"/>
          <w:color w:val="28251D"/>
          <w:sz w:val="21"/>
        </w:rPr>
        <w:t>Telemetry inventory (see Artifact 5)</w:t>
      </w:r>
    </w:p>
    <w:p>
      <w:pPr>
        <w:keepNext/>
        <w:spacing w:before="280" w:after="120"/>
      </w:pPr>
      <w:r>
        <w:rPr>
          <w:rFonts w:ascii="Calibri" w:hAnsi="Calibri"/>
          <w:b/>
          <w:i w:val="0"/>
          <w:color w:val="01696F"/>
          <w:sz w:val="32"/>
        </w:rPr>
        <w:t>Key concepts (glossary)</w:t>
      </w:r>
    </w:p>
    <w:p>
      <w:pPr>
        <w:spacing w:after="80"/>
      </w:pPr>
      <w:r>
        <w:rPr>
          <w:rFonts w:ascii="Calibri" w:hAnsi="Calibri"/>
          <w:b w:val="0"/>
          <w:i/>
          <w:color w:val="7A7974"/>
          <w:sz w:val="21"/>
        </w:rPr>
        <w:t>If you have never done AI FinOps before, read this section carefully. Each concept is used elsewhere in this artifact and across the pack.</w:t>
      </w:r>
    </w:p>
    <w:p>
      <w:pPr>
        <w:keepNext/>
        <w:spacing w:before="200" w:after="120"/>
      </w:pPr>
      <w:r>
        <w:rPr>
          <w:rFonts w:ascii="Calibri" w:hAnsi="Calibri"/>
          <w:b/>
          <w:i w:val="0"/>
          <w:color w:val="28251D"/>
          <w:sz w:val="22"/>
        </w:rPr>
        <w:t>Driver definition precision</w:t>
      </w:r>
    </w:p>
    <w:p>
      <w:pPr>
        <w:spacing w:after="80"/>
      </w:pPr>
      <w:r>
        <w:rPr>
          <w:rFonts w:ascii="Calibri" w:hAnsi="Calibri"/>
          <w:b w:val="0"/>
          <w:i w:val="0"/>
          <w:color w:val="28251D"/>
          <w:sz w:val="21"/>
        </w:rPr>
        <w:t>Definition: Every driver has an inclusion rule ('count only production request_ids', 'exclude health checks', 'exclude dev/test tenant').</w:t>
      </w:r>
    </w:p>
    <w:p>
      <w:pPr>
        <w:spacing w:after="80"/>
      </w:pPr>
      <w:r>
        <w:rPr>
          <w:rFonts w:ascii="Calibri" w:hAnsi="Calibri"/>
          <w:b w:val="0"/>
          <w:i w:val="0"/>
          <w:color w:val="28251D"/>
          <w:sz w:val="21"/>
        </w:rPr>
        <w:t>Why it matters: Ambiguous drivers produce ambiguous forecasts. 'Requests' means nothing without an inclusion rule.</w:t>
      </w:r>
    </w:p>
    <w:p>
      <w:pPr>
        <w:keepNext/>
        <w:spacing w:before="200" w:after="120"/>
      </w:pPr>
      <w:r>
        <w:rPr>
          <w:rFonts w:ascii="Calibri" w:hAnsi="Calibri"/>
          <w:b/>
          <w:i w:val="0"/>
          <w:color w:val="28251D"/>
          <w:sz w:val="22"/>
        </w:rPr>
        <w:t>Unit-cost derivation</w:t>
      </w:r>
    </w:p>
    <w:p>
      <w:pPr>
        <w:spacing w:after="80"/>
      </w:pPr>
      <w:r>
        <w:rPr>
          <w:rFonts w:ascii="Calibri" w:hAnsi="Calibri"/>
          <w:b w:val="0"/>
          <w:i w:val="0"/>
          <w:color w:val="28251D"/>
          <w:sz w:val="21"/>
        </w:rPr>
        <w:t>Definition: Some drivers have direct unit prices (tokens); others are derived (cost per request = tokens × price + retrieval + tools).</w:t>
      </w:r>
    </w:p>
    <w:p>
      <w:pPr>
        <w:spacing w:after="80"/>
      </w:pPr>
      <w:r>
        <w:rPr>
          <w:rFonts w:ascii="Calibri" w:hAnsi="Calibri"/>
          <w:b w:val="0"/>
          <w:i w:val="0"/>
          <w:color w:val="28251D"/>
          <w:sz w:val="21"/>
        </w:rPr>
        <w:t>Why it matters: Distinguishing direct vs derived unit costs prevents double-counting.</w:t>
      </w:r>
    </w:p>
    <w:p>
      <w:pPr>
        <w:keepNext/>
        <w:spacing w:before="200" w:after="120"/>
      </w:pPr>
      <w:r>
        <w:rPr>
          <w:rFonts w:ascii="Calibri" w:hAnsi="Calibri"/>
          <w:b/>
          <w:i w:val="0"/>
          <w:color w:val="28251D"/>
          <w:sz w:val="22"/>
        </w:rPr>
        <w:t>Confidence H/M/L per driver</w:t>
      </w:r>
    </w:p>
    <w:p>
      <w:pPr>
        <w:spacing w:after="80"/>
      </w:pPr>
      <w:r>
        <w:rPr>
          <w:rFonts w:ascii="Calibri" w:hAnsi="Calibri"/>
          <w:b w:val="0"/>
          <w:i w:val="0"/>
          <w:color w:val="28251D"/>
          <w:sz w:val="21"/>
        </w:rPr>
        <w:t>Definition: How well you know the value in production.</w:t>
      </w:r>
    </w:p>
    <w:p>
      <w:pPr>
        <w:spacing w:after="80"/>
      </w:pPr>
      <w:r>
        <w:rPr>
          <w:rFonts w:ascii="Calibri" w:hAnsi="Calibri"/>
          <w:b w:val="0"/>
          <w:i w:val="0"/>
          <w:color w:val="28251D"/>
          <w:sz w:val="21"/>
        </w:rPr>
        <w:t>Why it matters: Drives sensitivity analysis and the pilot measurement plan.</w:t>
      </w:r>
    </w:p>
    <w:p>
      <w:pPr>
        <w:keepNext/>
        <w:spacing w:before="280" w:after="120"/>
      </w:pPr>
      <w:r>
        <w:rPr>
          <w:rFonts w:ascii="Calibri" w:hAnsi="Calibri"/>
          <w:b/>
          <w:i w:val="0"/>
          <w:color w:val="01696F"/>
          <w:sz w:val="32"/>
        </w:rPr>
        <w:t>How to use this artifact (step-by-step)</w:t>
      </w:r>
    </w:p>
    <w:p>
      <w:pPr>
        <w:pStyle w:val="ListNumber"/>
        <w:spacing w:after="40"/>
      </w:pPr>
      <w:r>
        <w:rPr>
          <w:rFonts w:ascii="Calibri" w:hAnsi="Calibri"/>
          <w:b w:val="0"/>
          <w:i w:val="0"/>
          <w:color w:val="28251D"/>
          <w:sz w:val="21"/>
        </w:rPr>
        <w:t>For each cost driver identified in Artifact 2, add a row.</w:t>
      </w:r>
    </w:p>
    <w:p>
      <w:pPr>
        <w:pStyle w:val="ListNumber"/>
        <w:spacing w:after="40"/>
      </w:pPr>
      <w:r>
        <w:rPr>
          <w:rFonts w:ascii="Calibri" w:hAnsi="Calibri"/>
          <w:b w:val="0"/>
          <w:i w:val="0"/>
          <w:color w:val="28251D"/>
          <w:sz w:val="21"/>
        </w:rPr>
        <w:t>Write the exact definition. If two engineers would interpret it differently, rewrite it.</w:t>
      </w:r>
    </w:p>
    <w:p>
      <w:pPr>
        <w:pStyle w:val="ListNumber"/>
        <w:spacing w:after="40"/>
      </w:pPr>
      <w:r>
        <w:rPr>
          <w:rFonts w:ascii="Calibri" w:hAnsi="Calibri"/>
          <w:b w:val="0"/>
          <w:i w:val="0"/>
          <w:color w:val="28251D"/>
          <w:sz w:val="21"/>
        </w:rPr>
        <w:t>Specify where it is measured (log/metric/billing).</w:t>
      </w:r>
    </w:p>
    <w:p>
      <w:pPr>
        <w:pStyle w:val="ListNumber"/>
        <w:spacing w:after="40"/>
      </w:pPr>
      <w:r>
        <w:rPr>
          <w:rFonts w:ascii="Calibri" w:hAnsi="Calibri"/>
          <w:b w:val="0"/>
          <w:i w:val="0"/>
          <w:color w:val="28251D"/>
          <w:sz w:val="21"/>
        </w:rPr>
        <w:t>Compute the unit cost from Artifact 3 pricing.</w:t>
      </w:r>
    </w:p>
    <w:p>
      <w:pPr>
        <w:pStyle w:val="ListNumber"/>
        <w:spacing w:after="40"/>
      </w:pPr>
      <w:r>
        <w:rPr>
          <w:rFonts w:ascii="Calibri" w:hAnsi="Calibri"/>
          <w:b w:val="0"/>
          <w:i w:val="0"/>
          <w:color w:val="28251D"/>
          <w:sz w:val="21"/>
        </w:rPr>
        <w:t>Rate confidence H/M/L. Any Low-confidence driver becomes a priority for the pilot measurement plan.</w:t>
      </w:r>
    </w:p>
    <w:p>
      <w:pPr>
        <w:pStyle w:val="ListNumber"/>
        <w:spacing w:after="40"/>
      </w:pPr>
      <w:r>
        <w:rPr>
          <w:rFonts w:ascii="Calibri" w:hAnsi="Calibri"/>
          <w:b w:val="0"/>
          <w:i w:val="0"/>
          <w:color w:val="28251D"/>
          <w:sz w:val="21"/>
        </w:rPr>
        <w:t>Publish inclusion rules in a companion paragraph.</w:t>
      </w:r>
    </w:p>
    <w:p>
      <w:pPr>
        <w:keepNext/>
        <w:spacing w:before="280" w:after="120"/>
      </w:pPr>
      <w:r>
        <w:rPr>
          <w:rFonts w:ascii="Calibri" w:hAnsi="Calibri"/>
          <w:b/>
          <w:i w:val="0"/>
          <w:color w:val="01696F"/>
          <w:sz w:val="32"/>
        </w:rPr>
        <w:t>Worked example</w:t>
      </w:r>
    </w:p>
    <w:tbl>
      <w:tblPr>
        <w:tblW w:type="auto" w:w="0"/>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9972"/>
      </w:tblGrid>
      <w:tr>
        <w:tc>
          <w:tcPr>
            <w:tcW w:type="dxa" w:w="9972"/>
            <w:shd w:val="clear" w:color="auto" w:fill="F1EFEA"/>
          </w:tcPr>
          <w:p>
            <w:r>
              <w:rPr>
                <w:rFonts w:ascii="Calibri" w:hAnsi="Calibri"/>
                <w:b/>
                <w:i w:val="0"/>
                <w:color w:val="01696F"/>
                <w:sz w:val="21"/>
              </w:rPr>
              <w:t xml:space="preserve">Example:  </w:t>
            </w:r>
            <w:r>
              <w:rPr>
                <w:rFonts w:ascii="Calibri" w:hAnsi="Calibri"/>
                <w:b w:val="0"/>
                <w:i w:val="0"/>
                <w:color w:val="28251D"/>
                <w:sz w:val="21"/>
              </w:rPr>
              <w:t>Driver: Output tokens. Definition: sum of completion_tokens across all production request_ids in the inference proxy log, excluding request_ids tagged environment=dev. Signal: inference-proxy access log. Unit cost: $15/M tokens (Claude Sonnet 4.5 output). Confidence: H after pilot; M before pilot.</w:t>
            </w:r>
          </w:p>
        </w:tc>
      </w:tr>
    </w:tbl>
    <w:p/>
    <w:p>
      <w:pPr>
        <w:keepNext/>
        <w:spacing w:before="280" w:after="120"/>
      </w:pPr>
      <w:r>
        <w:rPr>
          <w:rFonts w:ascii="Calibri" w:hAnsi="Calibri"/>
          <w:b/>
          <w:i w:val="0"/>
          <w:color w:val="01696F"/>
          <w:sz w:val="32"/>
        </w:rPr>
        <w:t>Common pitfalls (and how to avoid them)</w:t>
      </w:r>
    </w:p>
    <w:p>
      <w:pPr>
        <w:pStyle w:val="ListBullet"/>
        <w:spacing w:after="40"/>
      </w:pPr>
      <w:r>
        <w:rPr>
          <w:rFonts w:ascii="Calibri" w:hAnsi="Calibri"/>
          <w:b w:val="0"/>
          <w:i w:val="0"/>
          <w:color w:val="28251D"/>
          <w:sz w:val="21"/>
        </w:rPr>
        <w:t>Copying token-price rows from vendor docs without stating the inclusion rule (dev vs prod).</w:t>
      </w:r>
    </w:p>
    <w:p>
      <w:pPr>
        <w:pStyle w:val="ListBullet"/>
        <w:spacing w:after="40"/>
      </w:pPr>
      <w:r>
        <w:rPr>
          <w:rFonts w:ascii="Calibri" w:hAnsi="Calibri"/>
          <w:b w:val="0"/>
          <w:i w:val="0"/>
          <w:color w:val="28251D"/>
          <w:sz w:val="21"/>
        </w:rPr>
        <w:t>Treating 'cost per request' as a driver instead of a derived output.</w:t>
      </w:r>
    </w:p>
    <w:p>
      <w:pPr>
        <w:pStyle w:val="ListBullet"/>
        <w:spacing w:after="40"/>
      </w:pPr>
      <w:r>
        <w:rPr>
          <w:rFonts w:ascii="Calibri" w:hAnsi="Calibri"/>
          <w:b w:val="0"/>
          <w:i w:val="0"/>
          <w:color w:val="28251D"/>
          <w:sz w:val="21"/>
        </w:rPr>
        <w:t>Leaving Low-confidence drivers un-flagged, so sensitivity analysis misses them.</w:t>
      </w:r>
    </w:p>
    <w:p>
      <w:pPr>
        <w:keepNext/>
        <w:spacing w:before="280" w:after="120"/>
      </w:pPr>
      <w:r>
        <w:rPr>
          <w:rFonts w:ascii="Calibri" w:hAnsi="Calibri"/>
          <w:b/>
          <w:i w:val="0"/>
          <w:color w:val="01696F"/>
          <w:sz w:val="32"/>
        </w:rPr>
        <w:t>Decision tree</w:t>
      </w:r>
    </w:p>
    <w:p>
      <w:pPr>
        <w:pStyle w:val="ListBullet"/>
        <w:spacing w:after="40"/>
      </w:pPr>
      <w:r>
        <w:rPr>
          <w:rFonts w:ascii="Calibri" w:hAnsi="Calibri"/>
          <w:b w:val="0"/>
          <w:i w:val="0"/>
          <w:color w:val="28251D"/>
          <w:sz w:val="21"/>
        </w:rPr>
        <w:t>If a driver is Low confidence AND has large expected cost impact → prioritize it in Artifact 6 pilot measurement plan.</w:t>
      </w:r>
    </w:p>
    <w:p>
      <w:pPr>
        <w:pStyle w:val="ListBullet"/>
        <w:spacing w:after="40"/>
      </w:pPr>
      <w:r>
        <w:rPr>
          <w:rFonts w:ascii="Calibri" w:hAnsi="Calibri"/>
          <w:b w:val="0"/>
          <w:i w:val="0"/>
          <w:color w:val="28251D"/>
          <w:sz w:val="21"/>
        </w:rPr>
        <w:t>If a driver cannot be measured (no signal) → either instrument it (Artifact 5) or accept modeling risk in Artifact 15.</w:t>
      </w:r>
    </w:p>
    <w:p>
      <w:pPr>
        <w:keepNext/>
        <w:spacing w:before="280" w:after="120"/>
      </w:pPr>
      <w:r>
        <w:rPr>
          <w:rFonts w:ascii="Calibri" w:hAnsi="Calibri"/>
          <w:b/>
          <w:i w:val="0"/>
          <w:color w:val="01696F"/>
          <w:sz w:val="32"/>
        </w:rPr>
        <w:t>Domain overlays</w:t>
      </w:r>
    </w:p>
    <w:p>
      <w:pPr>
        <w:spacing w:after="80"/>
      </w:pPr>
      <w:r>
        <w:rPr>
          <w:rFonts w:ascii="Calibri" w:hAnsi="Calibri"/>
          <w:b w:val="0"/>
          <w:i/>
          <w:color w:val="7A7974"/>
          <w:sz w:val="21"/>
        </w:rPr>
        <w:t>This template is domain-generic. Add the following considerations depending on the domain you are operating in. For any regulated domain, the domain overlay must be socialized with compliance before publishing the artifact.</w:t>
      </w:r>
    </w:p>
    <w:p>
      <w:pPr>
        <w:keepNext/>
        <w:spacing w:before="200" w:after="120"/>
      </w:pPr>
      <w:r>
        <w:rPr>
          <w:rFonts w:ascii="Calibri" w:hAnsi="Calibri"/>
          <w:b/>
          <w:i w:val="0"/>
          <w:color w:val="28251D"/>
          <w:sz w:val="22"/>
        </w:rPr>
        <w:t>Selected: generic</w:t>
      </w:r>
    </w:p>
    <w:tbl>
      <w:tblPr>
        <w:tblW w:type="auto" w:w="0"/>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9972"/>
      </w:tblGrid>
      <w:tr>
        <w:tc>
          <w:tcPr>
            <w:tcW w:type="dxa" w:w="9972"/>
            <w:shd w:val="clear" w:color="auto" w:fill="F1EFEA"/>
          </w:tcPr>
          <w:p>
            <w:r>
              <w:rPr>
                <w:rFonts w:ascii="Calibri" w:hAnsi="Calibri"/>
                <w:b/>
                <w:i w:val="0"/>
                <w:color w:val="01696F"/>
                <w:sz w:val="21"/>
              </w:rPr>
              <w:t xml:space="preserve">Overlay:  </w:t>
            </w:r>
            <w:r>
              <w:rPr>
                <w:rFonts w:ascii="Calibri" w:hAnsi="Calibri"/>
                <w:b w:val="0"/>
                <w:i w:val="0"/>
                <w:color w:val="28251D"/>
                <w:sz w:val="21"/>
              </w:rPr>
              <w:t>Cover inference, retrieval, vector DB, embeddings, evaluation, guardrails, HITL, platform.</w:t>
            </w:r>
          </w:p>
        </w:tc>
      </w:tr>
    </w:tbl>
    <w:p/>
    <w:p>
      <w:pPr>
        <w:keepNext/>
        <w:spacing w:before="200" w:after="120"/>
      </w:pPr>
      <w:r>
        <w:rPr>
          <w:rFonts w:ascii="Calibri" w:hAnsi="Calibri"/>
          <w:b/>
          <w:i w:val="0"/>
          <w:color w:val="28251D"/>
          <w:sz w:val="22"/>
        </w:rPr>
        <w:t>All overlays for reference</w:t>
      </w:r>
    </w:p>
    <w:p>
      <w:pPr>
        <w:spacing w:after="80"/>
      </w:pPr>
      <w:r>
        <w:rPr>
          <w:rFonts w:ascii="Calibri" w:hAnsi="Calibri"/>
          <w:b w:val="0"/>
          <w:i w:val="0"/>
          <w:color w:val="28251D"/>
          <w:sz w:val="21"/>
        </w:rPr>
        <w:t>generic: Cover inference, retrieval, vector DB, embeddings, evaluation, guardrails, HITL, platform.</w:t>
      </w:r>
    </w:p>
    <w:p>
      <w:pPr>
        <w:spacing w:after="80"/>
      </w:pPr>
      <w:r>
        <w:rPr>
          <w:rFonts w:ascii="Calibri" w:hAnsi="Calibri"/>
          <w:b w:val="0"/>
          <w:i w:val="0"/>
          <w:color w:val="28251D"/>
          <w:sz w:val="21"/>
        </w:rPr>
        <w:t>banking: Add validation-cost driver (SR 11-7 independent validation hours), and second-line review driver.</w:t>
      </w:r>
    </w:p>
    <w:p>
      <w:pPr>
        <w:spacing w:after="80"/>
      </w:pPr>
      <w:r>
        <w:rPr>
          <w:rFonts w:ascii="Calibri" w:hAnsi="Calibri"/>
          <w:b w:val="0"/>
          <w:i w:val="0"/>
          <w:color w:val="28251D"/>
          <w:sz w:val="21"/>
        </w:rPr>
        <w:t>retail: Add peak-load surcharge driver (autoscale premium).</w:t>
      </w:r>
    </w:p>
    <w:p>
      <w:pPr>
        <w:spacing w:after="80"/>
      </w:pPr>
      <w:r>
        <w:rPr>
          <w:rFonts w:ascii="Calibri" w:hAnsi="Calibri"/>
          <w:b w:val="0"/>
          <w:i w:val="0"/>
          <w:color w:val="28251D"/>
          <w:sz w:val="21"/>
        </w:rPr>
        <w:t>energy_oil_gas: Add remote-site egress driver.</w:t>
      </w:r>
    </w:p>
    <w:p>
      <w:pPr>
        <w:spacing w:after="80"/>
      </w:pPr>
      <w:r>
        <w:rPr>
          <w:rFonts w:ascii="Calibri" w:hAnsi="Calibri"/>
          <w:b w:val="0"/>
          <w:i w:val="0"/>
          <w:color w:val="28251D"/>
          <w:sz w:val="21"/>
        </w:rPr>
        <w:t>aerospace: Add configuration-management driver (model version pinning cost).</w:t>
      </w:r>
    </w:p>
    <w:p>
      <w:pPr>
        <w:spacing w:after="80"/>
      </w:pPr>
      <w:r>
        <w:rPr>
          <w:rFonts w:ascii="Calibri" w:hAnsi="Calibri"/>
          <w:b w:val="0"/>
          <w:i w:val="0"/>
          <w:color w:val="28251D"/>
          <w:sz w:val="21"/>
        </w:rPr>
        <w:t>public_sector: Add ATO-maintenance driver (annual assessment cost).</w:t>
      </w:r>
    </w:p>
    <w:p>
      <w:pPr>
        <w:spacing w:after="80"/>
      </w:pPr>
      <w:r>
        <w:rPr>
          <w:rFonts w:ascii="Calibri" w:hAnsi="Calibri"/>
          <w:b w:val="0"/>
          <w:i w:val="0"/>
          <w:color w:val="28251D"/>
          <w:sz w:val="21"/>
        </w:rPr>
        <w:t>telecom: Add data-localization driver (multi-region duplicate infra).</w:t>
      </w:r>
    </w:p>
    <w:p>
      <w:pPr>
        <w:spacing w:after="80"/>
      </w:pPr>
      <w:r>
        <w:rPr>
          <w:rFonts w:ascii="Calibri" w:hAnsi="Calibri"/>
          <w:b w:val="0"/>
          <w:i w:val="0"/>
          <w:color w:val="28251D"/>
          <w:sz w:val="21"/>
        </w:rPr>
        <w:t>entertainment: Add rights-verification driver.</w:t>
      </w:r>
    </w:p>
    <w:p>
      <w:r>
        <w:br w:type="page"/>
      </w:r>
    </w:p>
    <w:p>
      <w:pPr>
        <w:keepNext/>
        <w:spacing w:before="280" w:after="120"/>
      </w:pPr>
      <w:r>
        <w:rPr>
          <w:rFonts w:ascii="Calibri" w:hAnsi="Calibri"/>
          <w:b/>
          <w:i w:val="0"/>
          <w:color w:val="01696F"/>
          <w:sz w:val="32"/>
        </w:rPr>
        <w:t>Fillable form</w:t>
      </w:r>
    </w:p>
    <w:p>
      <w:pPr>
        <w:spacing w:after="80"/>
      </w:pPr>
      <w:r>
        <w:rPr>
          <w:rFonts w:ascii="Calibri" w:hAnsi="Calibri"/>
          <w:b w:val="0"/>
          <w:i/>
          <w:color w:val="7A7974"/>
          <w:sz w:val="21"/>
        </w:rPr>
        <w:t>Complete the fields below. When rendered from the FinOps AI Portfolio application, these values are populated automatically from the project record.</w:t>
      </w:r>
    </w:p>
    <w:tbl>
      <w:tblPr>
        <w:tblW w:type="auto" w:w="0"/>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986"/>
        <w:gridCol w:w="4986"/>
      </w:tblGrid>
      <w:tr>
        <w:tc>
          <w:tcPr>
            <w:tcW w:type="dxa" w:w="3168"/>
            <w:shd w:val="clear" w:color="auto" w:fill="F1EFEA"/>
          </w:tcPr>
          <w:p>
            <w:r>
              <w:rPr>
                <w:rFonts w:ascii="Calibri" w:hAnsi="Calibri"/>
                <w:b/>
                <w:i w:val="0"/>
                <w:color w:val="28251D"/>
                <w:sz w:val="20"/>
              </w:rPr>
              <w:t>Inclusion rules (paragraph)</w:t>
            </w:r>
          </w:p>
        </w:tc>
        <w:tc>
          <w:tcPr>
            <w:tcW w:type="dxa" w:w="6192"/>
          </w:tcPr>
          <w:p>
            <w:r>
              <w:rPr>
                <w:rFonts w:ascii="Calibri" w:hAnsi="Calibri"/>
                <w:b w:val="0"/>
                <w:i w:val="0"/>
                <w:color w:val="28251D"/>
                <w:sz w:val="20"/>
              </w:rPr>
            </w:r>
          </w:p>
        </w:tc>
      </w:tr>
    </w:tbl>
    <w:p>
      <w:pPr>
        <w:keepNext/>
        <w:spacing w:before="280" w:after="120"/>
      </w:pPr>
      <w:r>
        <w:rPr>
          <w:rFonts w:ascii="Calibri" w:hAnsi="Calibri"/>
          <w:b/>
          <w:i w:val="0"/>
          <w:color w:val="01696F"/>
          <w:sz w:val="32"/>
        </w:rPr>
        <w:t>Cost driver map</w:t>
      </w:r>
    </w:p>
    <w:tbl>
      <w:tblPr>
        <w:tblW w:type="auto" w:w="0"/>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1246"/>
        <w:gridCol w:w="1246"/>
        <w:gridCol w:w="1246"/>
        <w:gridCol w:w="1246"/>
        <w:gridCol w:w="1246"/>
        <w:gridCol w:w="1246"/>
        <w:gridCol w:w="1246"/>
        <w:gridCol w:w="1246"/>
      </w:tblGrid>
      <w:tr>
        <w:tc>
          <w:tcPr>
            <w:tcW w:type="dxa" w:w="1246"/>
            <w:shd w:val="clear" w:color="auto" w:fill="01696F"/>
            <w:vAlign w:val="center"/>
          </w:tcPr>
          <w:p>
            <w:r>
              <w:rPr>
                <w:rFonts w:ascii="Calibri" w:hAnsi="Calibri"/>
                <w:b/>
                <w:i w:val="0"/>
                <w:color w:val="FFFFFF"/>
                <w:sz w:val="20"/>
              </w:rPr>
              <w:t>Cost driver</w:t>
            </w:r>
          </w:p>
        </w:tc>
        <w:tc>
          <w:tcPr>
            <w:tcW w:type="dxa" w:w="1246"/>
            <w:shd w:val="clear" w:color="auto" w:fill="01696F"/>
            <w:vAlign w:val="center"/>
          </w:tcPr>
          <w:p>
            <w:r>
              <w:rPr>
                <w:rFonts w:ascii="Calibri" w:hAnsi="Calibri"/>
                <w:b/>
                <w:i w:val="0"/>
                <w:color w:val="FFFFFF"/>
                <w:sz w:val="20"/>
              </w:rPr>
              <w:t>Definition (exact)</w:t>
            </w:r>
          </w:p>
        </w:tc>
        <w:tc>
          <w:tcPr>
            <w:tcW w:type="dxa" w:w="1246"/>
            <w:shd w:val="clear" w:color="auto" w:fill="01696F"/>
            <w:vAlign w:val="center"/>
          </w:tcPr>
          <w:p>
            <w:r>
              <w:rPr>
                <w:rFonts w:ascii="Calibri" w:hAnsi="Calibri"/>
                <w:b/>
                <w:i w:val="0"/>
                <w:color w:val="FFFFFF"/>
                <w:sz w:val="20"/>
              </w:rPr>
              <w:t>Where measured</w:t>
            </w:r>
          </w:p>
        </w:tc>
        <w:tc>
          <w:tcPr>
            <w:tcW w:type="dxa" w:w="1246"/>
            <w:shd w:val="clear" w:color="auto" w:fill="01696F"/>
            <w:vAlign w:val="center"/>
          </w:tcPr>
          <w:p>
            <w:r>
              <w:rPr>
                <w:rFonts w:ascii="Calibri" w:hAnsi="Calibri"/>
                <w:b/>
                <w:i w:val="0"/>
                <w:color w:val="FFFFFF"/>
                <w:sz w:val="20"/>
              </w:rPr>
              <w:t>How computed</w:t>
            </w:r>
          </w:p>
        </w:tc>
        <w:tc>
          <w:tcPr>
            <w:tcW w:type="dxa" w:w="1246"/>
            <w:shd w:val="clear" w:color="auto" w:fill="01696F"/>
            <w:vAlign w:val="center"/>
          </w:tcPr>
          <w:p>
            <w:r>
              <w:rPr>
                <w:rFonts w:ascii="Calibri" w:hAnsi="Calibri"/>
                <w:b/>
                <w:i w:val="0"/>
                <w:color w:val="FFFFFF"/>
                <w:sz w:val="20"/>
              </w:rPr>
              <w:t>Unit</w:t>
            </w:r>
          </w:p>
        </w:tc>
        <w:tc>
          <w:tcPr>
            <w:tcW w:type="dxa" w:w="1246"/>
            <w:shd w:val="clear" w:color="auto" w:fill="01696F"/>
            <w:vAlign w:val="center"/>
          </w:tcPr>
          <w:p>
            <w:r>
              <w:rPr>
                <w:rFonts w:ascii="Calibri" w:hAnsi="Calibri"/>
                <w:b/>
                <w:i w:val="0"/>
                <w:color w:val="FFFFFF"/>
                <w:sz w:val="20"/>
              </w:rPr>
              <w:t>Unit cost ($/unit)</w:t>
            </w:r>
          </w:p>
        </w:tc>
        <w:tc>
          <w:tcPr>
            <w:tcW w:type="dxa" w:w="1246"/>
            <w:shd w:val="clear" w:color="auto" w:fill="01696F"/>
            <w:vAlign w:val="center"/>
          </w:tcPr>
          <w:p>
            <w:r>
              <w:rPr>
                <w:rFonts w:ascii="Calibri" w:hAnsi="Calibri"/>
                <w:b/>
                <w:i w:val="0"/>
                <w:color w:val="FFFFFF"/>
                <w:sz w:val="20"/>
              </w:rPr>
              <w:t>Default</w:t>
            </w:r>
          </w:p>
        </w:tc>
        <w:tc>
          <w:tcPr>
            <w:tcW w:type="dxa" w:w="1246"/>
            <w:shd w:val="clear" w:color="auto" w:fill="01696F"/>
            <w:vAlign w:val="center"/>
          </w:tcPr>
          <w:p>
            <w:r>
              <w:rPr>
                <w:rFonts w:ascii="Calibri" w:hAnsi="Calibri"/>
                <w:b/>
                <w:i w:val="0"/>
                <w:color w:val="FFFFFF"/>
                <w:sz w:val="20"/>
              </w:rPr>
              <w:t>Confidence</w:t>
            </w:r>
          </w:p>
        </w:tc>
      </w:tr>
      <w:tr>
        <w:tc>
          <w:tcPr>
            <w:tcW w:type="dxa" w:w="1246"/>
          </w:tcPr>
          <w:p>
            <w:r>
              <w:rPr>
                <w:rFonts w:ascii="Calibri" w:hAnsi="Calibri"/>
                <w:b w:val="0"/>
                <w:i w:val="0"/>
                <w:color w:val="28251D"/>
                <w:sz w:val="20"/>
              </w:rPr>
            </w:r>
          </w:p>
        </w:tc>
        <w:tc>
          <w:tcPr>
            <w:tcW w:type="dxa" w:w="1246"/>
          </w:tcPr>
          <w:p>
            <w:r>
              <w:rPr>
                <w:rFonts w:ascii="Calibri" w:hAnsi="Calibri"/>
                <w:b w:val="0"/>
                <w:i w:val="0"/>
                <w:color w:val="28251D"/>
                <w:sz w:val="20"/>
              </w:rPr>
            </w:r>
          </w:p>
        </w:tc>
        <w:tc>
          <w:tcPr>
            <w:tcW w:type="dxa" w:w="1246"/>
          </w:tcPr>
          <w:p>
            <w:r>
              <w:rPr>
                <w:rFonts w:ascii="Calibri" w:hAnsi="Calibri"/>
                <w:b w:val="0"/>
                <w:i w:val="0"/>
                <w:color w:val="28251D"/>
                <w:sz w:val="20"/>
              </w:rPr>
            </w:r>
          </w:p>
        </w:tc>
        <w:tc>
          <w:tcPr>
            <w:tcW w:type="dxa" w:w="1246"/>
          </w:tcPr>
          <w:p>
            <w:r>
              <w:rPr>
                <w:rFonts w:ascii="Calibri" w:hAnsi="Calibri"/>
                <w:b w:val="0"/>
                <w:i w:val="0"/>
                <w:color w:val="28251D"/>
                <w:sz w:val="20"/>
              </w:rPr>
            </w:r>
          </w:p>
        </w:tc>
        <w:tc>
          <w:tcPr>
            <w:tcW w:type="dxa" w:w="1246"/>
          </w:tcPr>
          <w:p>
            <w:r>
              <w:rPr>
                <w:rFonts w:ascii="Calibri" w:hAnsi="Calibri"/>
                <w:b w:val="0"/>
                <w:i w:val="0"/>
                <w:color w:val="28251D"/>
                <w:sz w:val="20"/>
              </w:rPr>
            </w:r>
          </w:p>
        </w:tc>
        <w:tc>
          <w:tcPr>
            <w:tcW w:type="dxa" w:w="1246"/>
          </w:tcPr>
          <w:p>
            <w:r>
              <w:rPr>
                <w:rFonts w:ascii="Calibri" w:hAnsi="Calibri"/>
                <w:b w:val="0"/>
                <w:i w:val="0"/>
                <w:color w:val="28251D"/>
                <w:sz w:val="20"/>
              </w:rPr>
            </w:r>
          </w:p>
        </w:tc>
        <w:tc>
          <w:tcPr>
            <w:tcW w:type="dxa" w:w="1246"/>
          </w:tcPr>
          <w:p>
            <w:r>
              <w:rPr>
                <w:rFonts w:ascii="Calibri" w:hAnsi="Calibri"/>
                <w:b w:val="0"/>
                <w:i w:val="0"/>
                <w:color w:val="28251D"/>
                <w:sz w:val="20"/>
              </w:rPr>
            </w:r>
          </w:p>
        </w:tc>
        <w:tc>
          <w:tcPr>
            <w:tcW w:type="dxa" w:w="1246"/>
          </w:tcPr>
          <w:p>
            <w:r>
              <w:rPr>
                <w:rFonts w:ascii="Calibri" w:hAnsi="Calibri"/>
                <w:b w:val="0"/>
                <w:i w:val="0"/>
                <w:color w:val="28251D"/>
                <w:sz w:val="20"/>
              </w:rPr>
            </w:r>
          </w:p>
        </w:tc>
      </w:tr>
      <w:tr>
        <w:tc>
          <w:tcPr>
            <w:tcW w:type="dxa" w:w="1246"/>
            <w:shd w:val="clear" w:color="auto" w:fill="F1EFEA"/>
          </w:tcPr>
          <w:p>
            <w:r>
              <w:rPr>
                <w:rFonts w:ascii="Calibri" w:hAnsi="Calibri"/>
                <w:b w:val="0"/>
                <w:i w:val="0"/>
                <w:color w:val="28251D"/>
                <w:sz w:val="20"/>
              </w:rPr>
            </w:r>
          </w:p>
        </w:tc>
        <w:tc>
          <w:tcPr>
            <w:tcW w:type="dxa" w:w="1246"/>
            <w:shd w:val="clear" w:color="auto" w:fill="F1EFEA"/>
          </w:tcPr>
          <w:p>
            <w:r>
              <w:rPr>
                <w:rFonts w:ascii="Calibri" w:hAnsi="Calibri"/>
                <w:b w:val="0"/>
                <w:i w:val="0"/>
                <w:color w:val="28251D"/>
                <w:sz w:val="20"/>
              </w:rPr>
            </w:r>
          </w:p>
        </w:tc>
        <w:tc>
          <w:tcPr>
            <w:tcW w:type="dxa" w:w="1246"/>
            <w:shd w:val="clear" w:color="auto" w:fill="F1EFEA"/>
          </w:tcPr>
          <w:p>
            <w:r>
              <w:rPr>
                <w:rFonts w:ascii="Calibri" w:hAnsi="Calibri"/>
                <w:b w:val="0"/>
                <w:i w:val="0"/>
                <w:color w:val="28251D"/>
                <w:sz w:val="20"/>
              </w:rPr>
            </w:r>
          </w:p>
        </w:tc>
        <w:tc>
          <w:tcPr>
            <w:tcW w:type="dxa" w:w="1246"/>
            <w:shd w:val="clear" w:color="auto" w:fill="F1EFEA"/>
          </w:tcPr>
          <w:p>
            <w:r>
              <w:rPr>
                <w:rFonts w:ascii="Calibri" w:hAnsi="Calibri"/>
                <w:b w:val="0"/>
                <w:i w:val="0"/>
                <w:color w:val="28251D"/>
                <w:sz w:val="20"/>
              </w:rPr>
            </w:r>
          </w:p>
        </w:tc>
        <w:tc>
          <w:tcPr>
            <w:tcW w:type="dxa" w:w="1246"/>
            <w:shd w:val="clear" w:color="auto" w:fill="F1EFEA"/>
          </w:tcPr>
          <w:p>
            <w:r>
              <w:rPr>
                <w:rFonts w:ascii="Calibri" w:hAnsi="Calibri"/>
                <w:b w:val="0"/>
                <w:i w:val="0"/>
                <w:color w:val="28251D"/>
                <w:sz w:val="20"/>
              </w:rPr>
            </w:r>
          </w:p>
        </w:tc>
        <w:tc>
          <w:tcPr>
            <w:tcW w:type="dxa" w:w="1246"/>
            <w:shd w:val="clear" w:color="auto" w:fill="F1EFEA"/>
          </w:tcPr>
          <w:p>
            <w:r>
              <w:rPr>
                <w:rFonts w:ascii="Calibri" w:hAnsi="Calibri"/>
                <w:b w:val="0"/>
                <w:i w:val="0"/>
                <w:color w:val="28251D"/>
                <w:sz w:val="20"/>
              </w:rPr>
            </w:r>
          </w:p>
        </w:tc>
        <w:tc>
          <w:tcPr>
            <w:tcW w:type="dxa" w:w="1246"/>
            <w:shd w:val="clear" w:color="auto" w:fill="F1EFEA"/>
          </w:tcPr>
          <w:p>
            <w:r>
              <w:rPr>
                <w:rFonts w:ascii="Calibri" w:hAnsi="Calibri"/>
                <w:b w:val="0"/>
                <w:i w:val="0"/>
                <w:color w:val="28251D"/>
                <w:sz w:val="20"/>
              </w:rPr>
            </w:r>
          </w:p>
        </w:tc>
        <w:tc>
          <w:tcPr>
            <w:tcW w:type="dxa" w:w="1246"/>
            <w:shd w:val="clear" w:color="auto" w:fill="F1EFEA"/>
          </w:tcPr>
          <w:p>
            <w:r>
              <w:rPr>
                <w:rFonts w:ascii="Calibri" w:hAnsi="Calibri"/>
                <w:b w:val="0"/>
                <w:i w:val="0"/>
                <w:color w:val="28251D"/>
                <w:sz w:val="20"/>
              </w:rPr>
            </w:r>
          </w:p>
        </w:tc>
      </w:tr>
      <w:tr>
        <w:tc>
          <w:tcPr>
            <w:tcW w:type="dxa" w:w="1246"/>
          </w:tcPr>
          <w:p>
            <w:r>
              <w:rPr>
                <w:rFonts w:ascii="Calibri" w:hAnsi="Calibri"/>
                <w:b w:val="0"/>
                <w:i w:val="0"/>
                <w:color w:val="28251D"/>
                <w:sz w:val="20"/>
              </w:rPr>
            </w:r>
          </w:p>
        </w:tc>
        <w:tc>
          <w:tcPr>
            <w:tcW w:type="dxa" w:w="1246"/>
          </w:tcPr>
          <w:p>
            <w:r>
              <w:rPr>
                <w:rFonts w:ascii="Calibri" w:hAnsi="Calibri"/>
                <w:b w:val="0"/>
                <w:i w:val="0"/>
                <w:color w:val="28251D"/>
                <w:sz w:val="20"/>
              </w:rPr>
            </w:r>
          </w:p>
        </w:tc>
        <w:tc>
          <w:tcPr>
            <w:tcW w:type="dxa" w:w="1246"/>
          </w:tcPr>
          <w:p>
            <w:r>
              <w:rPr>
                <w:rFonts w:ascii="Calibri" w:hAnsi="Calibri"/>
                <w:b w:val="0"/>
                <w:i w:val="0"/>
                <w:color w:val="28251D"/>
                <w:sz w:val="20"/>
              </w:rPr>
            </w:r>
          </w:p>
        </w:tc>
        <w:tc>
          <w:tcPr>
            <w:tcW w:type="dxa" w:w="1246"/>
          </w:tcPr>
          <w:p>
            <w:r>
              <w:rPr>
                <w:rFonts w:ascii="Calibri" w:hAnsi="Calibri"/>
                <w:b w:val="0"/>
                <w:i w:val="0"/>
                <w:color w:val="28251D"/>
                <w:sz w:val="20"/>
              </w:rPr>
            </w:r>
          </w:p>
        </w:tc>
        <w:tc>
          <w:tcPr>
            <w:tcW w:type="dxa" w:w="1246"/>
          </w:tcPr>
          <w:p>
            <w:r>
              <w:rPr>
                <w:rFonts w:ascii="Calibri" w:hAnsi="Calibri"/>
                <w:b w:val="0"/>
                <w:i w:val="0"/>
                <w:color w:val="28251D"/>
                <w:sz w:val="20"/>
              </w:rPr>
            </w:r>
          </w:p>
        </w:tc>
        <w:tc>
          <w:tcPr>
            <w:tcW w:type="dxa" w:w="1246"/>
          </w:tcPr>
          <w:p>
            <w:r>
              <w:rPr>
                <w:rFonts w:ascii="Calibri" w:hAnsi="Calibri"/>
                <w:b w:val="0"/>
                <w:i w:val="0"/>
                <w:color w:val="28251D"/>
                <w:sz w:val="20"/>
              </w:rPr>
            </w:r>
          </w:p>
        </w:tc>
        <w:tc>
          <w:tcPr>
            <w:tcW w:type="dxa" w:w="1246"/>
          </w:tcPr>
          <w:p>
            <w:r>
              <w:rPr>
                <w:rFonts w:ascii="Calibri" w:hAnsi="Calibri"/>
                <w:b w:val="0"/>
                <w:i w:val="0"/>
                <w:color w:val="28251D"/>
                <w:sz w:val="20"/>
              </w:rPr>
            </w:r>
          </w:p>
        </w:tc>
        <w:tc>
          <w:tcPr>
            <w:tcW w:type="dxa" w:w="1246"/>
          </w:tcPr>
          <w:p>
            <w:r>
              <w:rPr>
                <w:rFonts w:ascii="Calibri" w:hAnsi="Calibri"/>
                <w:b w:val="0"/>
                <w:i w:val="0"/>
                <w:color w:val="28251D"/>
                <w:sz w:val="20"/>
              </w:rPr>
            </w:r>
          </w:p>
        </w:tc>
      </w:tr>
      <w:tr>
        <w:tc>
          <w:tcPr>
            <w:tcW w:type="dxa" w:w="1246"/>
            <w:shd w:val="clear" w:color="auto" w:fill="F1EFEA"/>
          </w:tcPr>
          <w:p>
            <w:r>
              <w:rPr>
                <w:rFonts w:ascii="Calibri" w:hAnsi="Calibri"/>
                <w:b w:val="0"/>
                <w:i w:val="0"/>
                <w:color w:val="28251D"/>
                <w:sz w:val="20"/>
              </w:rPr>
            </w:r>
          </w:p>
        </w:tc>
        <w:tc>
          <w:tcPr>
            <w:tcW w:type="dxa" w:w="1246"/>
            <w:shd w:val="clear" w:color="auto" w:fill="F1EFEA"/>
          </w:tcPr>
          <w:p>
            <w:r>
              <w:rPr>
                <w:rFonts w:ascii="Calibri" w:hAnsi="Calibri"/>
                <w:b w:val="0"/>
                <w:i w:val="0"/>
                <w:color w:val="28251D"/>
                <w:sz w:val="20"/>
              </w:rPr>
            </w:r>
          </w:p>
        </w:tc>
        <w:tc>
          <w:tcPr>
            <w:tcW w:type="dxa" w:w="1246"/>
            <w:shd w:val="clear" w:color="auto" w:fill="F1EFEA"/>
          </w:tcPr>
          <w:p>
            <w:r>
              <w:rPr>
                <w:rFonts w:ascii="Calibri" w:hAnsi="Calibri"/>
                <w:b w:val="0"/>
                <w:i w:val="0"/>
                <w:color w:val="28251D"/>
                <w:sz w:val="20"/>
              </w:rPr>
            </w:r>
          </w:p>
        </w:tc>
        <w:tc>
          <w:tcPr>
            <w:tcW w:type="dxa" w:w="1246"/>
            <w:shd w:val="clear" w:color="auto" w:fill="F1EFEA"/>
          </w:tcPr>
          <w:p>
            <w:r>
              <w:rPr>
                <w:rFonts w:ascii="Calibri" w:hAnsi="Calibri"/>
                <w:b w:val="0"/>
                <w:i w:val="0"/>
                <w:color w:val="28251D"/>
                <w:sz w:val="20"/>
              </w:rPr>
            </w:r>
          </w:p>
        </w:tc>
        <w:tc>
          <w:tcPr>
            <w:tcW w:type="dxa" w:w="1246"/>
            <w:shd w:val="clear" w:color="auto" w:fill="F1EFEA"/>
          </w:tcPr>
          <w:p>
            <w:r>
              <w:rPr>
                <w:rFonts w:ascii="Calibri" w:hAnsi="Calibri"/>
                <w:b w:val="0"/>
                <w:i w:val="0"/>
                <w:color w:val="28251D"/>
                <w:sz w:val="20"/>
              </w:rPr>
            </w:r>
          </w:p>
        </w:tc>
        <w:tc>
          <w:tcPr>
            <w:tcW w:type="dxa" w:w="1246"/>
            <w:shd w:val="clear" w:color="auto" w:fill="F1EFEA"/>
          </w:tcPr>
          <w:p>
            <w:r>
              <w:rPr>
                <w:rFonts w:ascii="Calibri" w:hAnsi="Calibri"/>
                <w:b w:val="0"/>
                <w:i w:val="0"/>
                <w:color w:val="28251D"/>
                <w:sz w:val="20"/>
              </w:rPr>
            </w:r>
          </w:p>
        </w:tc>
        <w:tc>
          <w:tcPr>
            <w:tcW w:type="dxa" w:w="1246"/>
            <w:shd w:val="clear" w:color="auto" w:fill="F1EFEA"/>
          </w:tcPr>
          <w:p>
            <w:r>
              <w:rPr>
                <w:rFonts w:ascii="Calibri" w:hAnsi="Calibri"/>
                <w:b w:val="0"/>
                <w:i w:val="0"/>
                <w:color w:val="28251D"/>
                <w:sz w:val="20"/>
              </w:rPr>
            </w:r>
          </w:p>
        </w:tc>
        <w:tc>
          <w:tcPr>
            <w:tcW w:type="dxa" w:w="1246"/>
            <w:shd w:val="clear" w:color="auto" w:fill="F1EFEA"/>
          </w:tcPr>
          <w:p>
            <w:r>
              <w:rPr>
                <w:rFonts w:ascii="Calibri" w:hAnsi="Calibri"/>
                <w:b w:val="0"/>
                <w:i w:val="0"/>
                <w:color w:val="28251D"/>
                <w:sz w:val="20"/>
              </w:rPr>
            </w:r>
          </w:p>
        </w:tc>
      </w:tr>
    </w:tbl>
    <w:p>
      <w:pPr>
        <w:keepNext/>
        <w:spacing w:before="280" w:after="120"/>
      </w:pPr>
      <w:r>
        <w:rPr>
          <w:rFonts w:ascii="Calibri" w:hAnsi="Calibri"/>
          <w:b/>
          <w:i w:val="0"/>
          <w:color w:val="01696F"/>
          <w:sz w:val="32"/>
        </w:rPr>
        <w:t>Notes</w:t>
      </w:r>
    </w:p>
    <w:p>
      <w:pPr>
        <w:spacing w:after="80"/>
      </w:pPr>
      <w:r>
        <w:rPr>
          <w:rFonts w:ascii="Calibri" w:hAnsi="Calibri"/>
          <w:b w:val="0"/>
          <w:i w:val="0"/>
          <w:color w:val="28251D"/>
          <w:sz w:val="21"/>
        </w:rPr>
        <w:t>Use this space for open questions, follow-ups, and links to related artifacts.</w:t>
      </w:r>
    </w:p>
    <w:p/>
    <w:p/>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7A7974"/>
        <w:sz w:val="18"/>
      </w:rPr>
      <w:t>Artifact 04 · AI Cost Driver Map · Generated 2026-07-07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