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05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Metering &amp; Instrumentation Requirements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You cannot manage what you cannot measure. This artifact is your contract with platform engineering to produce the telemetry that makes every downstream artifact defensible.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Ensure you can actually measure the cost drivers you modeled.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2–3, before the pilot begins. Any driver without a measurement plan is a modeling risk.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Driver map (Artifact 4)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Access to platform engineering for log-field decisions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Privacy office guidance on redaction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Correlation key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A single ID (usually request_id) propagated across the frontend, orchestrator, retriever, model proxy, and eval bus.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Without a correlation key you cannot compute per-request cost, per-outcome cost, or attribute retries.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Sampling strategy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Which fields are logged for every request vs sampled at a fraction of traffic.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Token counts must be always-on. High-cost eval payloads can be sampled. Getting this wrong wastes storage or blinds you.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Redaction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Removing PII/PHI/PCI/CPNI before logs are persisted.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Logs that contain sensitive data are a compliance failure. Redaction must be designed before instrumentation begins.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 system component, list the data required, the exact log field names, granularity, and sample method.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Choose one correlation key. Document how it is propagated across services (header name, trace ID scheme).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State retention and redaction rules.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a validation plan — compare telemetry to vendor usage dashboards and billing exports.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Correlation key: request_id (UUIDv4) set at the API edge, propagated via header X-Request-ID, included in every downstream log line. Redaction: OpenAI /chat/completions payloads redacted via a proxy that hashes user input tokens; token counts, model_id, and metadata are preserved. Retention: 90 days hot, 13 months cold. Validation: monthly reconcile inference-proxy token counts to vendor usage dashboard, acceptance ±3%.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 correlation key → impossible to compute unit economics.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Full-payload logging without redaction → compliance failure.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Sampling token counts → blind spots exactly when volume spikes.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 reconciliation to vendor usage → forecast drift invisible until finance sees the invoice.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any request contains regulated data → design redaction before instrumentation.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vendor usage dashboards are available → build automated reconciliation from day one.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Cover inference proxy, orchestrator, retriever, vector DB, eval harness, HITL.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Cover inference proxy, orchestrator, retriever, vector DB, eval harness, HITL.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immutable audit log to a WORM store for any customer-decision-adjacent request.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cart/session correlation to attribute revenue back to AI-touched sessions.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safety-zone tagging so safety-relevant requests are separable in analysis.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configuration-item ID (model version, prompt version) on every log line.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Store audit logs in the ATO boundary; retention per records schedule.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Redact CPNI at ingest; log purpose-of-use.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Log content-similarity scores where applicable to defend rights posture.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Correlation key and propagation rules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Retention window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Privacy redaction requirements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Telemetry checklist by system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System component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required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Log fields / metrics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Granularity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Sample method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Instrumentation validation plan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Driver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 check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05 · Metering &amp; Instrumentation Requirements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