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6"/>
        </w:rPr>
        <w:t>Artifact 07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01696F"/>
          <w:sz w:val="44"/>
        </w:rPr>
        <w:t>AI Unit Economics Calculator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2"/>
        </w:rPr>
        <w:t>FinOps AI Principal Consultant — Reference Manual Template</w:t>
      </w:r>
    </w:p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Role context — why the Principal AI Solutions Consultant owns this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Unit economics is where AI FinOps stops being cost management and starts being value engineering. The Principal Consultant's signature deliverable is 'cost per successful outcome' — the number leadership actually cares about.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Compute unit cost per request and per successful outcome by request type.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When to use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Week 3–4 after calibration.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Pricing (Artifact 3)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Driver map (Artifact 4)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Calibration data (Artifact 6)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Key concepts (glossary)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If you have never done AI FinOps before, read this section carefully. Each concept is used elsewhere in this artifact and across the pack.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Cost per request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Direct cost of one production request across all cost drivers.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Baseline for optimization tracking.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Cost per successful outcome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Cost per request divided by the fraction that pass the quality gate.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Realistic economics — failed requests still cost money.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Model routing mix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Definition: Share of requests going to small vs large model.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Why it matters: Routing is the single highest-leverage cost lever.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How to use this artifact (step-by-step)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For each request type, populate inputs: routing mix, avg tokens in/out, retries, tool calls, retrieval calls, reranker rate, success rate.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Compute cost per request (formula in worked example).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Compute cost per successful outcome.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Publish cost per 1K outcomes for readability.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Worked example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Example: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Request type: 'short factual'. Routing: 85% small (Claude Haiku) / 15% large (Sonnet). Avg input tokens: 1,200 (with 45% cached). Avg output tokens: 220. Retrieval: 2 calls. Reranker: 30% of traffic. Retry rate: 4%. Success rate: 92%. Cost calculation: small path = (1,200 × 0.55 × $0.80/M + 1,200 × 0.45 × $0.08/M + 220 × $4/M) = $0.000528 + $0.0000432 + $0.00088 ≈ $0.00145. Large path = (1,200 × 0.55 × $3/M + 1,200 × 0.45 × $0.30/M + 220 × $15/M) ≈ $0.00198 + $0.000162 + $0.0033 = $0.00544. Blended = 0.85 × $0.00145 + 0.15 × $0.00544 = $0.00205. Add retrieval $0.0004 + reranker $0.0002 × 0.30 = $0.00006 + retries factor × 1.04 = $0.00259 per request. Cost per successful outcome = $0.00259 / 0.92 = $0.00282.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Common pitfalls (and how to avoid them)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Reporting only 'cost per request' without success rate.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Forgetting to apply the retry multiplier.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Averaging across request types instead of computing per type.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Decision tree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cost per successful outcome differs by &gt;2x across types → address the worst type first.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51D"/>
          <w:sz w:val="21"/>
        </w:rPr>
        <w:t>If retries drive &gt;15% of cost → prioritize quality gate work (Artifact 16).</w:t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Domain overlays</w:t>
      </w:r>
    </w:p>
    <w:p>
      <w:pPr>
        <w:spacing w:after="80"/>
      </w:pPr>
      <w:r>
        <w:rPr>
          <w:rFonts w:ascii="Calibri" w:hAnsi="Calibri"/>
          <w:b w:val="0"/>
          <w:i/>
          <w:color w:val="7A7974"/>
          <w:sz w:val="21"/>
        </w:rPr>
        <w:t>This template is domain-generic. Add the following considerations depending on the domain you are operating in. For any regulated domain, the domain overlay must be socialized with compliance before publishing the artifact.</w:t>
      </w:r>
    </w:p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Selected: generic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2"/>
      </w:tblGrid>
      <w:tr>
        <w:tc>
          <w:tcPr>
            <w:tcW w:type="dxa" w:w="9972"/>
            <w:shd w:val="clear" w:color="auto" w:fill="F1EFEA"/>
          </w:tcPr>
          <w:p>
            <w:r>
              <w:rPr>
                <w:rFonts w:ascii="Calibri" w:hAnsi="Calibri"/>
                <w:b/>
                <w:i w:val="0"/>
                <w:color w:val="01696F"/>
                <w:sz w:val="21"/>
              </w:rPr>
              <w:t xml:space="preserve">Overlay:  </w:t>
            </w:r>
            <w:r>
              <w:rPr>
                <w:rFonts w:ascii="Calibri" w:hAnsi="Calibri"/>
                <w:b w:val="0"/>
                <w:i w:val="0"/>
                <w:color w:val="28251D"/>
                <w:sz w:val="21"/>
              </w:rPr>
              <w:t>Compute per request type.</w:t>
            </w:r>
          </w:p>
        </w:tc>
      </w:tr>
    </w:tbl>
    <w:p/>
    <w:p>
      <w:pPr>
        <w:keepNext/>
        <w:spacing w:before="200" w:after="120"/>
      </w:pPr>
      <w:r>
        <w:rPr>
          <w:rFonts w:ascii="Calibri" w:hAnsi="Calibri"/>
          <w:b/>
          <w:i w:val="0"/>
          <w:color w:val="28251D"/>
          <w:sz w:val="22"/>
        </w:rPr>
        <w:t>All overlays for reference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generic: Compute per request type.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banking: Also compute cost per decision-of-record.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retail: Also compute cost per attributable purchase.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energy_oil_gas: Also compute cost per safe operation.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aerospace: Also compute cost per configuration-controlled artifact.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public_sector: Also compute cost per constituent served.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telecom: Also compute cost per resolved trouble ticket.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entertainment: Also compute cost per approved asset.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Inputs by request type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Request type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Routing mix (small/large)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Avg tokens in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Cached share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Avg tokens out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Retrieval calls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Reranker rate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Tool calls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Retry rate</w:t>
            </w:r>
          </w:p>
        </w:tc>
        <w:tc>
          <w:tcPr>
            <w:tcW w:type="dxa" w:w="997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Success rate</w:t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997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Outputs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4D1CA"/>
          <w:left w:val="single" w:sz="4" w:space="0" w:color="D4D1CA"/>
          <w:bottom w:val="single" w:sz="4" w:space="0" w:color="D4D1CA"/>
          <w:right w:val="single" w:sz="4" w:space="0" w:color="D4D1CA"/>
          <w:insideH w:val="single" w:sz="4" w:space="0" w:color="D4D1CA"/>
          <w:insideV w:val="single" w:sz="4" w:space="0" w:color="D4D1CA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Request type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 per request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 per successful outcome</w:t>
            </w:r>
          </w:p>
        </w:tc>
        <w:tc>
          <w:tcPr>
            <w:tcW w:type="dxa" w:w="2493"/>
            <w:shd w:val="clear" w:color="auto" w:fill="01696F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Cost per 1K outcomes</w:t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  <w:tr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  <w:tc>
          <w:tcPr>
            <w:tcW w:type="dxa" w:w="2493"/>
            <w:shd w:val="clear" w:color="auto" w:fill="F1EFEA"/>
          </w:tcPr>
          <w:p>
            <w:r>
              <w:rPr>
                <w:rFonts w:ascii="Calibri" w:hAnsi="Calibri"/>
                <w:b w:val="0"/>
                <w:i w:val="0"/>
                <w:color w:val="28251D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i w:val="0"/>
          <w:color w:val="01696F"/>
          <w:sz w:val="32"/>
        </w:rPr>
        <w:t>Notes</w:t>
      </w:r>
    </w:p>
    <w:p>
      <w:pPr>
        <w:spacing w:after="80"/>
      </w:pPr>
      <w:r>
        <w:rPr>
          <w:rFonts w:ascii="Calibri" w:hAnsi="Calibri"/>
          <w:b w:val="0"/>
          <w:i w:val="0"/>
          <w:color w:val="28251D"/>
          <w:sz w:val="21"/>
        </w:rPr>
        <w:t>Use this space for open questions, follow-ups, and links to related artifacts.</w:t>
      </w:r>
    </w:p>
    <w:p/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7A7974"/>
        <w:sz w:val="18"/>
      </w:rPr>
      <w:t>Artifact 07 · AI Unit Economics Calculator · Generated 2026-07-07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