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6"/>
        </w:rPr>
        <w:t>Artifact 10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01696F"/>
          <w:sz w:val="44"/>
        </w:rPr>
        <w:t>Optimization Options Catalog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2"/>
        </w:rPr>
        <w:t>FinOps AI Principal Consultant — Reference Manual Template</w:t>
      </w:r>
    </w:p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Role context — why the Principal AI Solutions Consultant owns this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Ideas are cheap; quantified options are the deliverable. Principal Consultants publish an options catalog with expected impact ranges and go/no-go criteria.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Turn analysis into actionable options with quantified impacts.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When to use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Week 5–6.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Inputs needed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Cost driver map (Artifact 4)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Unit economics (Artifact 7)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Scenarios (Artifact 9)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Key concepts (glossary)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If you have never done AI FinOps before, read this section carefully. Each concept is used elsewhere in this artifact and across the pack.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Lever type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Category of optimization (prompt efficiency, routing, caching, RAG tuning, guardrails, eval efficiency, HITL sampling, infra).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Categorization helps portfolio-level planning.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Impact triangle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Every lever has (a) cost impact, (b) quality impact, (c) performance/latency impact.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Silent quality regressions negate cost wins.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Proof plan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Small experiment to validate the option before scaling.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Ideas that look great in spreadsheets can flop in production.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How to use this artifact (step-by-step)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Populate the option register with expected impact ranges (based on published benchmarks + your data).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Attach a proof plan per option.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Prioritize by expected impact × confidence ÷ effort.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Track adopted options monthly.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Worked example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Example: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OPT-002 Routing: send short factual to Claude Haiku. Effort M, Risk S. Expected cost impact -35%. Quality impact: pass rate falls from 94% to 92% (still above 90% gate). Proof plan: 2-week A/B on 20% of traffic. Go criterion: pass rate ≥ 90% AND cost/success down ≥ 25%.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Common pitfalls (and how to avoid them)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Options with impact ranges but no proof plan — leadership will pick the top of the range.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Ignoring quality/latency effects.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Stacking multiple options and taking credit for the sum. Effects rarely fully compound.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Decision tree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quality gate margin is thin → prefer options that increase quality (better RAG, reranker) even if cost impact is smaller.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HITL dominates cost → prioritize HITL-sampling and confidence-threshold options.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Domain overlays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This template is domain-generic. Add the following considerations depending on the domain you are operating in. For any regulated domain, the domain overlay must be socialized with compliance before publishing the artifact.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Selected: generic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Overlay: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Levers span prompt, routing, caching, RAG, guardrails, eval, HITL, infra.</w:t>
            </w:r>
          </w:p>
        </w:tc>
      </w:tr>
    </w:tbl>
    <w:p/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All overlays for reference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generic: Levers span prompt, routing, caching, RAG, guardrails, eval, HITL, infra.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banking: Add second-line-review sampling option; validation efficiency.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retail: Add peak-shift options (defer non-urgent to off-peak).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energy_oil_gas: Add edge-inference options.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aerospace: Add configuration-freeze options.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public_sector: Add ATO-scope reduction options (narrower boundary).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telecom: Add regional model consolidation options.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entertainment: Add rights-cached-response options.</w:t>
      </w: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Option register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Option ID</w:t>
            </w:r>
          </w:p>
        </w:tc>
        <w:tc>
          <w:tcPr>
            <w:tcW w:type="dxa" w:w="1108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Lever type</w:t>
            </w:r>
          </w:p>
        </w:tc>
        <w:tc>
          <w:tcPr>
            <w:tcW w:type="dxa" w:w="1108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1108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Cost drivers affected</w:t>
            </w:r>
          </w:p>
        </w:tc>
        <w:tc>
          <w:tcPr>
            <w:tcW w:type="dxa" w:w="1108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Effort (S/M/L)</w:t>
            </w:r>
          </w:p>
        </w:tc>
        <w:tc>
          <w:tcPr>
            <w:tcW w:type="dxa" w:w="1108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Risk (S/M/L)</w:t>
            </w:r>
          </w:p>
        </w:tc>
        <w:tc>
          <w:tcPr>
            <w:tcW w:type="dxa" w:w="1108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Metric to watch</w:t>
            </w:r>
          </w:p>
        </w:tc>
        <w:tc>
          <w:tcPr>
            <w:tcW w:type="dxa" w:w="1108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Expected impact (cost)</w:t>
            </w:r>
          </w:p>
        </w:tc>
        <w:tc>
          <w:tcPr>
            <w:tcW w:type="dxa" w:w="1108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Expected impact (quality/perf)</w:t>
            </w:r>
          </w:p>
        </w:tc>
      </w:tr>
      <w:tr>
        <w:tc>
          <w:tcPr>
            <w:tcW w:type="dxa" w:w="1108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108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108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108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108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Proof plans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Option ID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Pilot test design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needed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Go/No-go criteria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Notes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Use this space for open questions, follow-ups, and links to related artifacts.</w:t>
      </w:r>
    </w:p>
    <w:p/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A7974"/>
        <w:sz w:val="18"/>
      </w:rPr>
      <w:t>Artifact 10 · Optimization Options Catalog · Generated 2026-07-07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