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13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Executive One-Pager (Business Case)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The single most-read document in the pack. Every sentence must earn its place.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 concise decision document for leadership.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6–7.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Everything upstream.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Recommendation-first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State the ask in the first sentence.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Executives skim; put the decision at the top.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Range communication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Always show base + range, not a single point.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Ranges survive challenge; points do not.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State the ask (approve pilot / scale / optimization).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Two sentences on why now.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Three-line solution overview.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Cost outlook: base and range.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Benefits: incremental only.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ROI headline: NPV, payback, top-3 risks.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Next step: date, owner, success criteria.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Recommendation: approve $2.4M Year-1 scale funding for the wealth-management client servicing assistant. Why now: advisor headcount pressure, competitor deployments launched Q4 2025. Solution: RAG + HITL over internal knowledge base. Cost: $220k/month base ($165k–$310k range). Benefits: $8.2M incremental Year-1 (matched-cohort attribution). NPV $12.9M (range $6M–$18M). Payback 9 months. Top risks: adoption slower than plan; regulatory validation cycle time. Next step: kick off scale phase 2026-Q3 with quality gate at 92%.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More than one page.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 numeric ranges.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 risks.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No next step / owner.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unable to fit on one page → cut examples, keep decision-relevant numbers.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Same structure; adjust regulatory framing.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Same structure; adjust regulatory framing.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Same structure; adjust regulatory framing.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Same structure; adjust regulatory framing.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Same structure; adjust regulatory framing.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Same structure; adjust regulatory framing.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Same structure; adjust regulatory framing.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Same structure; adjust regulatory framing.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Same structure; adjust regulatory framing.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Recommendation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Budget range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Timeline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Why now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Solution summary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Cost outlook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Expected benefits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ROI headline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Next step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13 · Executive One-Pager (Business Case)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