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14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Full Business Case Narrative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The auditable long-form companion to the one-pager. Governance committees will read this.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Support governance committees with a thorough, auditable narrative.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6–7.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All prior artifacts.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Auditable narrative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Every quantitative claim is traceable back to an artifact number and a specific cell/row.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Second-line reviewers will spot untraceable claims immediately.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Section A: Use case &amp; objectives (from Artifact 1).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Section B: Solution overview (from Artifact 2).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Section C: Cost model (Artifacts 3–8).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Section D: Benefits model (Artifact 11).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Section E: ROI results (Artifact 12) + sensitivity (Artifact 9).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Section F: Implementation plan + governance (Artifact 15/16/17).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Appendix: pricing table, driver map, pilot summary, data dictionary.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Every heading fills to 2–5 paragraphs; forecast tables reproduced or referenced.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Repeating the one-pager verbatim.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Missing appendix (auditors will ask).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governance body is bank/regulator-facing → treat as a submission and route through legal.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Adjust governance headings to your control framework.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Adjust governance headings to your control framework.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Adjust governance headings to your control framework.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Adjust governance headings to your control framework.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Adjust governance headings to your control framework.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Adjust governance headings to your control framework.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Adjust governance headings to your control framework.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Adjust governance headings to your control framework.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Adjust governance headings to your control framework.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Section A: Use case &amp; objectives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Section B: Solution overview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Section C: Cost model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Section D: Benefits model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Section E: ROI results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Section F: Implementation plan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Appendix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14 · Full Business Case Narrative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