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6"/>
        </w:rPr>
        <w:t>Artifact 15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01696F"/>
          <w:sz w:val="44"/>
        </w:rPr>
        <w:t>Risk Register &amp; Controls Checklist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2"/>
        </w:rPr>
        <w:t>FinOps AI Principal Consultant — Reference Manual Template</w:t>
      </w:r>
    </w:p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Role context — why the Principal AI Solutions Consultant owns this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The Principal Consultant is a de facto risk practitioner. Even in domains without an enforced framework, producing a risk register with cost impact makes the business case defensible.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Prove the business case accounts for operational and governance risks that affect cost, quality, and compliance.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When to use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Week 6, alongside business case.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Inputs needed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Full architecture, forecast, governance context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Key concepts (glossary)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If you have never done AI FinOps before, read this section carefully. Each concept is used elsewhere in this artifact and across the pack.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Likelihood × impact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Standard risk scoring on 3- or 5-point scales.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Common language across risk domains.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Detection metric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A monitoring signal that indicates the risk is materializing.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Risks without detection metrics are stories, not risks.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Control effectiveness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Preventative vs detective vs corrective.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Preventative controls prevent cost; detective controls limit blast radius.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How to use this artifact (step-by-step)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Populate the register with at least: prompt bloat, quality drift, RAG recall drop, data governance gaps, eval scale, prompt injection, supply chain, dependency.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For each, specify likelihood, impact, cost impact yes/no, control, owner, detection metric, mitigation plan.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Verify the controls checklist against the OWASP LLM Top 10 and NIST AI RMF measure/manage functions.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Worked example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Example: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R-001 Prompt bloat: L=M, I=H, cost impact yes, control=prompt-length caps + monthly review, owner=platform, detection=avg input tokens/request trending &gt;20% MoM, mitigation=roll back prompt or add cache.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Common pitfalls (and how to avoid them)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Risks without owners.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Detection metrics that no dashboard actually shows.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Ignoring supply-chain risk (model deprecation, vendor outage).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Decision tree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any risk × cost impact &gt; 5% of monthly spend → escalate to the FinOps operating cadence (Artifact 17).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regulated data touched → route to compliance for control-adequacy sign-off.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Domain overlays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This template is domain-generic. Add the following considerations depending on the domain you are operating in. For any regulated domain, the domain overlay must be socialized with compliance before publishing the artifact.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Selected: generic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Overlay: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Baseline risks above.</w:t>
            </w:r>
          </w:p>
        </w:tc>
      </w:tr>
    </w:tbl>
    <w:p/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All overlays for reference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generic: Baseline risks above.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banking: Map to SR 11-7 model-risk tiering; add third-party-risk residual risk; add fair-lending disparate impact monitoring.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retail: Add PCI-scope creep, marketing-attribution disputes.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energy_oil_gas: Add safety-critical isolation and OT boundary controls.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aerospace: Add export-control classification error and configuration-item drift.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public_sector: Add ATO-boundary drift and records-management non-compliance.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telecom: Add CPNI leakage.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entertainment: Add rights-holder claim and training-data provenance.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Fillable form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Complete the fields below. When rendered from the FinOps AI Portfolio application, these values are populated automatically from the project record.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4986"/>
        <w:gridCol w:w="4986"/>
      </w:tblGrid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Controls checklist (freeform notes)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Risk register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Risk ID</w:t>
            </w:r>
          </w:p>
        </w:tc>
        <w:tc>
          <w:tcPr>
            <w:tcW w:type="dxa" w:w="997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997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997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Likelihood</w:t>
            </w:r>
          </w:p>
        </w:tc>
        <w:tc>
          <w:tcPr>
            <w:tcW w:type="dxa" w:w="997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</w:t>
            </w:r>
          </w:p>
        </w:tc>
        <w:tc>
          <w:tcPr>
            <w:tcW w:type="dxa" w:w="997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Cost impact?</w:t>
            </w:r>
          </w:p>
        </w:tc>
        <w:tc>
          <w:tcPr>
            <w:tcW w:type="dxa" w:w="997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Control</w:t>
            </w:r>
          </w:p>
        </w:tc>
        <w:tc>
          <w:tcPr>
            <w:tcW w:type="dxa" w:w="997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Owner</w:t>
            </w:r>
          </w:p>
        </w:tc>
        <w:tc>
          <w:tcPr>
            <w:tcW w:type="dxa" w:w="997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Detection metric</w:t>
            </w:r>
          </w:p>
        </w:tc>
        <w:tc>
          <w:tcPr>
            <w:tcW w:type="dxa" w:w="997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Notes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Use this space for open questions, follow-ups, and links to related artifacts.</w:t>
      </w:r>
    </w:p>
    <w:p/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A7974"/>
        <w:sz w:val="18"/>
      </w:rPr>
      <w:t>Artifact 15 · Risk Register &amp; Controls Checklist · Generated 2026-07-07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