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6"/>
        </w:rPr>
        <w:t>Artifact 17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01696F"/>
          <w:sz w:val="44"/>
        </w:rPr>
        <w:t>FinOps Operating Model (RACI + Cadence)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2"/>
        </w:rPr>
        <w:t>FinOps AI Principal Consultant — Reference Manual Template</w:t>
      </w:r>
    </w:p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Role context — why the Principal AI Solutions Consultant owns this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Consulting engagements end; operating models remain. Principal Consultants leave behind a running operating model, not a one-time deliverable.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Purpose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Make cost management sustainable and repeatable after the consultant phase.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When to use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Week 7+.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Inputs needed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Named leaders across product, engineering, finance, risk, compliance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Key concepts (glossary)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If you have never done AI FinOps before, read this section carefully. Each concept is used elsewhere in this artifact and across the pack.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Cadence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Fixed-frequency operating rhythm (weekly triage, monthly forecast, quarterly roadmap).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Cadence is what keeps FinOps alive between crises.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Dashboards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Standing visual reports of cost by driver, cost per outcome, distributions, and anomalies.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One source of truth reduces meeting time.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Anomaly triage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Standing meeting to review variance and route to owners.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Anomalies compound if unaddressed.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How to use this artifact (step-by-step)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Publish RACI covering the seven activities in the template.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Publish cadence: weekly (anomaly triage), monthly (forecast refresh), quarterly (optimization roadmap), per-change (quality gate).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Publish dashboard requirements.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Assign each dashboard to an owner.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Worked example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Example: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Weekly Wednesday 30-min anomaly triage: platform, finance, product. Monthly first-Thursday 60-min forecast refresh: finance + workload owners. Quarterly optimization roadmap: leadership + AI CoE. Per-change quality gate: governance officer + independent validator.</w:t>
            </w:r>
          </w:p>
        </w:tc>
      </w:tr>
    </w:tbl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Common pitfalls (and how to avoid them)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RACI with multiple accountables.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Cadences that never get run.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Dashboards no one owns.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Decision tree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If cadence attendance drops below 60% → reduce frequency or consolidate meetings.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Domain overlays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This template is domain-generic. Add the following considerations depending on the domain you are operating in. For any regulated domain, the domain overlay must be socialized with compliance before publishing the artifact.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Selected: generic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Overlay: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Baseline cadence.</w:t>
            </w:r>
          </w:p>
        </w:tc>
      </w:tr>
    </w:tbl>
    <w:p/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All overlays for reference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generic: Baseline cadence.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banking: Add first-line/second-line/third-line seats at forecast refresh.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retail: Align cadence to fiscal quarters and peak seasons.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energy_oil_gas: Include safety and reliability engineering.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aerospace: Include configuration control board.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public_sector: Align to appropriation cycles and OMB reporting.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telecom: Include NOC/reliability.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entertainment: Include IP counsel at production milestones.</w:t>
      </w:r>
    </w:p>
    <w:p>
      <w:r>
        <w:br w:type="page"/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Fillable form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Complete the fields below. When rendered from the FinOps AI Portfolio application, these values are populated automatically from the project record.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4986"/>
        <w:gridCol w:w="4986"/>
      </w:tblGrid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Dashboards required (list)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RACI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Activity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Responsible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Accountable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Consulted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Informed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Cadence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Cadence</w:t>
            </w:r>
          </w:p>
        </w:tc>
        <w:tc>
          <w:tcPr>
            <w:tcW w:type="dxa" w:w="2493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Meeting</w:t>
            </w:r>
          </w:p>
        </w:tc>
        <w:tc>
          <w:tcPr>
            <w:tcW w:type="dxa" w:w="2493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Outputs</w:t>
            </w:r>
          </w:p>
        </w:tc>
        <w:tc>
          <w:tcPr>
            <w:tcW w:type="dxa" w:w="2493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Attendees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Notes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Use this space for open questions, follow-ups, and links to related artifacts.</w:t>
      </w:r>
    </w:p>
    <w:p/>
    <w:p/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7A7974"/>
        <w:sz w:val="18"/>
      </w:rPr>
      <w:t>Artifact 17 · FinOps Operating Model (RACI + Cadence) · Generated 2026-07-07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