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6"/>
        </w:rPr>
        <w:t>Artifact 18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01696F"/>
          <w:sz w:val="44"/>
        </w:rPr>
        <w:t>Chargeback / Showback Allocation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2"/>
        </w:rPr>
        <w:t>FinOps AI Principal Consultant — Reference Manual Template</w:t>
      </w:r>
    </w:p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Role context — why the Principal AI Solutions Consultant owns this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Allocation drives behavior. Wrong allocation basis creates perverse incentives (e.g., LOBs avoid AI to avoid cost). Principal Consultants pick the basis that aligns with the value being created.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Allocate AI spend to cost centers/products in a way that aligns incentives.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When to use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Week 7+ once cost drivers and unit economics are stable.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Inputs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Cost driver map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Unit economics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Finance policy on chargeback vs showback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Key concepts (glossary)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If you have never done AI FinOps before, read this section carefully. Each concept is used elsewhere in this artifact and across the pack.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Allocation basis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The primary key used to split cost (requests, tokens, cost per outcome, feature usage).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Basis affects who bears cost — and therefore adoption behavior.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Shared platform cost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Non-attributable overhead (eval harness, observability).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Must be allocated fairly (usage share) not equally.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Showback first, chargeback later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Report allocated cost for 2–3 cycles before actually moving budgets.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Reduces first-year disputes.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How to use this artifact (step-by-step)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Pick the allocation basis. Cost per successful outcome × volume is the most defensible.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Write allocation rules including fallback when metadata is missing.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Publish monthly by cost center × workload.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Start with showback; move to chargeback after 2 clean cycles.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Worked example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Example: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Basis: cost per request type × request volume by cost center, plus 8% shared-platform allocation weighted by usage share. Monthly report to LOB CFOs. Chargeback effective July 2026 following 3 clean showback cycles.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Common pitfalls (and how to avoid them)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Equal-share allocation of shared platform → penalizes early adopters.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Chargeback without showback first → immediate disputes.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Missing metadata → cost lands in the wrong bucket silently.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Decision tree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workload metadata coverage &lt; 95% → stay in showback.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any LOB will bear &gt;30% of the shared pool → renegotiate the basis.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Domain overlays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This template is domain-generic. Add the following considerations depending on the domain you are operating in. For any regulated domain, the domain overlay must be socialized with compliance before publishing the artifact.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Selected: generic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Overlay: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Baseline allocation.</w:t>
            </w:r>
          </w:p>
        </w:tc>
      </w:tr>
    </w:tbl>
    <w:p/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All overlays for reference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generic: Baseline allocation.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banking: Add LOB, product family, and (where regulated) capital-attribution notes.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retail: Split by banner, region, and campaign.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energy_oil_gas: Split by asset and business unit.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aerospace: Split by program and contract.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public_sector: Split by appropriation and program.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telecom: Split by segment and geography.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entertainment: Split by title/production.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Fillable form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Complete the fields below. When rendered from the FinOps AI Portfolio application, these values are populated automatically from the project record.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4986"/>
        <w:gridCol w:w="4986"/>
      </w:tblGrid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Allocation basis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Showback or chargeback?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Allocation rules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Rule ID</w:t>
            </w:r>
          </w:p>
        </w:tc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If condition</w:t>
            </w:r>
          </w:p>
        </w:tc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Allocation method</w:t>
            </w:r>
          </w:p>
        </w:tc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Formula / Example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Monthly allocation output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1425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Cost center</w:t>
            </w:r>
          </w:p>
        </w:tc>
        <w:tc>
          <w:tcPr>
            <w:tcW w:type="dxa" w:w="1425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Workload</w:t>
            </w:r>
          </w:p>
        </w:tc>
        <w:tc>
          <w:tcPr>
            <w:tcW w:type="dxa" w:w="1425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Allocated inference</w:t>
            </w:r>
          </w:p>
        </w:tc>
        <w:tc>
          <w:tcPr>
            <w:tcW w:type="dxa" w:w="1425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Allocated retrieval</w:t>
            </w:r>
          </w:p>
        </w:tc>
        <w:tc>
          <w:tcPr>
            <w:tcW w:type="dxa" w:w="1425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Allocated platform</w:t>
            </w:r>
          </w:p>
        </w:tc>
        <w:tc>
          <w:tcPr>
            <w:tcW w:type="dxa" w:w="1425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Notes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Use this space for open questions, follow-ups, and links to related artifacts.</w:t>
      </w:r>
    </w:p>
    <w:p/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A7974"/>
        <w:sz w:val="18"/>
      </w:rPr>
      <w:t>Artifact 18 · Chargeback / Showback Allocation ·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