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00" w:after="120"/>
      </w:pPr>
      <w:r>
        <w:rPr>
          <w:rFonts w:ascii="Calibri" w:hAnsi="Calibri"/>
          <w:b/>
          <w:i w:val="0"/>
          <w:color w:val="28251D"/>
          <w:sz w:val="26"/>
        </w:rPr>
        <w:t>Artifact 19</w:t>
      </w:r>
    </w:p>
    <w:p>
      <w:pPr>
        <w:keepNext/>
        <w:spacing w:before="200" w:after="120"/>
      </w:pPr>
      <w:r>
        <w:rPr>
          <w:rFonts w:ascii="Calibri" w:hAnsi="Calibri"/>
          <w:b/>
          <w:i w:val="0"/>
          <w:color w:val="01696F"/>
          <w:sz w:val="44"/>
        </w:rPr>
        <w:t>Vendor &amp; Pricing Negotiation Tracker</w:t>
      </w:r>
    </w:p>
    <w:p>
      <w:pPr>
        <w:spacing w:after="80"/>
      </w:pPr>
      <w:r>
        <w:rPr>
          <w:rFonts w:ascii="Calibri" w:hAnsi="Calibri"/>
          <w:b w:val="0"/>
          <w:i/>
          <w:color w:val="7A7974"/>
          <w:sz w:val="22"/>
        </w:rPr>
        <w:t>FinOps AI Principal Consultant — Reference Manual Template</w:t>
      </w:r>
    </w:p>
    <w:p/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Role context — why the Principal AI Solutions Consultant owns this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Vendor pricing changes are the largest exogenous shock to the forecast. Track them.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Purpose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Track vendor pricing, terms, and negotiation status.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When to use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Continuous.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Inputs needed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Contract inventory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Procurement contacts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Key concepts (glossary)</w:t>
      </w:r>
    </w:p>
    <w:p>
      <w:pPr>
        <w:spacing w:after="80"/>
      </w:pPr>
      <w:r>
        <w:rPr>
          <w:rFonts w:ascii="Calibri" w:hAnsi="Calibri"/>
          <w:b w:val="0"/>
          <w:i/>
          <w:color w:val="7A7974"/>
          <w:sz w:val="21"/>
        </w:rPr>
        <w:t>If you have never done AI FinOps before, read this section carefully. Each concept is used elsewhere in this artifact and across the pack.</w:t>
      </w:r>
    </w:p>
    <w:p>
      <w:pPr>
        <w:keepNext/>
        <w:spacing w:before="200" w:after="120"/>
      </w:pPr>
      <w:r>
        <w:rPr>
          <w:rFonts w:ascii="Calibri" w:hAnsi="Calibri"/>
          <w:b/>
          <w:i w:val="0"/>
          <w:color w:val="28251D"/>
          <w:sz w:val="22"/>
        </w:rPr>
        <w:t>Effective date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Definition: When the pricing took effect. Every row must have one.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Why it matters: Retroactive forecast rebuilds need effective dates.</w:t>
      </w:r>
    </w:p>
    <w:p>
      <w:pPr>
        <w:keepNext/>
        <w:spacing w:before="200" w:after="120"/>
      </w:pPr>
      <w:r>
        <w:rPr>
          <w:rFonts w:ascii="Calibri" w:hAnsi="Calibri"/>
          <w:b/>
          <w:i w:val="0"/>
          <w:color w:val="28251D"/>
          <w:sz w:val="22"/>
        </w:rPr>
        <w:t>Volume commitment / true-up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Definition: Committed volume in exchange for lower unit price.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Why it matters: Under-utilization can burn cash; over-utilization can burn overage.</w:t>
      </w:r>
    </w:p>
    <w:p>
      <w:pPr>
        <w:keepNext/>
        <w:spacing w:before="200" w:after="120"/>
      </w:pPr>
      <w:r>
        <w:rPr>
          <w:rFonts w:ascii="Calibri" w:hAnsi="Calibri"/>
          <w:b/>
          <w:i w:val="0"/>
          <w:color w:val="28251D"/>
          <w:sz w:val="22"/>
        </w:rPr>
        <w:t>Renewal window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Definition: Time before contract auto-renew when renegotiation is possible.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Why it matters: Miss the window, lose the leverage.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How to use this artifact (step-by-step)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One row per vendor per contract line.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Track renewal date, term, and negotiation levers.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Feed the pricing table (Artifact 3) whenever a contract changes.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Worked example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4D1CA"/>
          <w:left w:val="single" w:sz="4" w:space="0" w:color="D4D1CA"/>
          <w:bottom w:val="single" w:sz="4" w:space="0" w:color="D4D1CA"/>
          <w:right w:val="single" w:sz="4" w:space="0" w:color="D4D1CA"/>
          <w:insideH w:val="single" w:sz="4" w:space="0" w:color="D4D1CA"/>
          <w:insideV w:val="single" w:sz="4" w:space="0" w:color="D4D1CA"/>
        </w:tblBorders>
      </w:tblPr>
      <w:tblGrid>
        <w:gridCol w:w="9972"/>
      </w:tblGrid>
      <w:tr>
        <w:tc>
          <w:tcPr>
            <w:tcW w:type="dxa" w:w="9972"/>
            <w:shd w:val="clear" w:color="auto" w:fill="F1EFEA"/>
          </w:tcPr>
          <w:p>
            <w:r>
              <w:rPr>
                <w:rFonts w:ascii="Calibri" w:hAnsi="Calibri"/>
                <w:b/>
                <w:i w:val="0"/>
                <w:color w:val="01696F"/>
                <w:sz w:val="21"/>
              </w:rPr>
              <w:t xml:space="preserve">Example:  </w:t>
            </w:r>
            <w:r>
              <w:rPr>
                <w:rFonts w:ascii="Calibri" w:hAnsi="Calibri"/>
                <w:b w:val="0"/>
                <w:i w:val="0"/>
                <w:color w:val="28251D"/>
                <w:sz w:val="21"/>
              </w:rPr>
              <w:t>Anthropic Enterprise 12-month contract, 20% off list at $12M/yr committed spend, renewal 2026-Q3.</w:t>
            </w:r>
          </w:p>
        </w:tc>
      </w:tr>
    </w:tbl>
    <w:p/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Common pitfalls (and how to avoid them)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Missing effective dates.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Not tracking overage exposure.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Decision tree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If renewal within 90 days → open negotiation plan; feed procurement.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Domain overlays</w:t>
      </w:r>
    </w:p>
    <w:p>
      <w:pPr>
        <w:spacing w:after="80"/>
      </w:pPr>
      <w:r>
        <w:rPr>
          <w:rFonts w:ascii="Calibri" w:hAnsi="Calibri"/>
          <w:b w:val="0"/>
          <w:i/>
          <w:color w:val="7A7974"/>
          <w:sz w:val="21"/>
        </w:rPr>
        <w:t>This template is domain-generic. Add the following considerations depending on the domain you are operating in. For any regulated domain, the domain overlay must be socialized with compliance before publishing the artifact.</w:t>
      </w:r>
    </w:p>
    <w:p>
      <w:pPr>
        <w:keepNext/>
        <w:spacing w:before="200" w:after="120"/>
      </w:pPr>
      <w:r>
        <w:rPr>
          <w:rFonts w:ascii="Calibri" w:hAnsi="Calibri"/>
          <w:b/>
          <w:i w:val="0"/>
          <w:color w:val="28251D"/>
          <w:sz w:val="22"/>
        </w:rPr>
        <w:t>Selected: generic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4D1CA"/>
          <w:left w:val="single" w:sz="4" w:space="0" w:color="D4D1CA"/>
          <w:bottom w:val="single" w:sz="4" w:space="0" w:color="D4D1CA"/>
          <w:right w:val="single" w:sz="4" w:space="0" w:color="D4D1CA"/>
          <w:insideH w:val="single" w:sz="4" w:space="0" w:color="D4D1CA"/>
          <w:insideV w:val="single" w:sz="4" w:space="0" w:color="D4D1CA"/>
        </w:tblBorders>
      </w:tblPr>
      <w:tblGrid>
        <w:gridCol w:w="9972"/>
      </w:tblGrid>
      <w:tr>
        <w:tc>
          <w:tcPr>
            <w:tcW w:type="dxa" w:w="9972"/>
            <w:shd w:val="clear" w:color="auto" w:fill="F1EFEA"/>
          </w:tcPr>
          <w:p>
            <w:r>
              <w:rPr>
                <w:rFonts w:ascii="Calibri" w:hAnsi="Calibri"/>
                <w:b/>
                <w:i w:val="0"/>
                <w:color w:val="01696F"/>
                <w:sz w:val="21"/>
              </w:rPr>
              <w:t xml:space="preserve">Overlay:  </w:t>
            </w:r>
            <w:r>
              <w:rPr>
                <w:rFonts w:ascii="Calibri" w:hAnsi="Calibri"/>
                <w:b w:val="0"/>
                <w:i w:val="0"/>
                <w:color w:val="28251D"/>
                <w:sz w:val="21"/>
              </w:rPr>
              <w:t>Add domain-specific procurement approvers.</w:t>
            </w:r>
          </w:p>
        </w:tc>
      </w:tr>
    </w:tbl>
    <w:p/>
    <w:p>
      <w:pPr>
        <w:keepNext/>
        <w:spacing w:before="200" w:after="120"/>
      </w:pPr>
      <w:r>
        <w:rPr>
          <w:rFonts w:ascii="Calibri" w:hAnsi="Calibri"/>
          <w:b/>
          <w:i w:val="0"/>
          <w:color w:val="28251D"/>
          <w:sz w:val="22"/>
        </w:rPr>
        <w:t>All overlays for reference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generic: Add domain-specific procurement approvers.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banking: Add domain-specific procurement approvers.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retail: Add domain-specific procurement approvers.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energy_oil_gas: Add domain-specific procurement approvers.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aerospace: Add domain-specific procurement approvers.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public_sector: Add domain-specific procurement approvers.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telecom: Add domain-specific procurement approvers.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entertainment: Add domain-specific procurement approvers.</w:t>
      </w:r>
    </w:p>
    <w:p>
      <w:r>
        <w:br w:type="page"/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Vendor pricing tracker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4D1CA"/>
          <w:left w:val="single" w:sz="4" w:space="0" w:color="D4D1CA"/>
          <w:bottom w:val="single" w:sz="4" w:space="0" w:color="D4D1CA"/>
          <w:right w:val="single" w:sz="4" w:space="0" w:color="D4D1CA"/>
          <w:insideH w:val="single" w:sz="4" w:space="0" w:color="D4D1CA"/>
          <w:insideV w:val="single" w:sz="4" w:space="0" w:color="D4D1CA"/>
        </w:tblBorders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Vendor</w:t>
            </w:r>
          </w:p>
        </w:tc>
        <w:tc>
          <w:tcPr>
            <w:tcW w:type="dxa" w:w="1662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Contract term</w:t>
            </w:r>
          </w:p>
        </w:tc>
        <w:tc>
          <w:tcPr>
            <w:tcW w:type="dxa" w:w="1662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Inference pricing</w:t>
            </w:r>
          </w:p>
        </w:tc>
        <w:tc>
          <w:tcPr>
            <w:tcW w:type="dxa" w:w="1662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Retrieval / vector pricing</w:t>
            </w:r>
          </w:p>
        </w:tc>
        <w:tc>
          <w:tcPr>
            <w:tcW w:type="dxa" w:w="1662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Effective date</w:t>
            </w:r>
          </w:p>
        </w:tc>
        <w:tc>
          <w:tcPr>
            <w:tcW w:type="dxa" w:w="1662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662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  <w:tr>
        <w:tc>
          <w:tcPr>
            <w:tcW w:type="dxa" w:w="1662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662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662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662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662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662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  <w:tr>
        <w:tc>
          <w:tcPr>
            <w:tcW w:type="dxa" w:w="1662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662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662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662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662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662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</w:tbl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Notes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Use this space for open questions, follow-ups, and links to related artifacts.</w:t>
      </w:r>
    </w:p>
    <w:p/>
    <w:p/>
    <w:p/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7A7974"/>
        <w:sz w:val="18"/>
      </w:rPr>
      <w:t>Artifact 19 · Vendor &amp; Pricing Negotiation Tracker · Generated 2026-07-07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