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DC9B" w14:textId="56F4EF20" w:rsidR="008819C7" w:rsidRDefault="00FF728F" w:rsidP="00FF72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TAREA 38: DICCIONARIO</w:t>
      </w:r>
    </w:p>
    <w:p w14:paraId="3A797040" w14:textId="77777777" w:rsidR="00A053CF" w:rsidRPr="00A053CF" w:rsidRDefault="00A053CF" w:rsidP="00FF728F">
      <w:pPr>
        <w:pStyle w:val="Prrafodelista"/>
        <w:rPr>
          <w:sz w:val="24"/>
          <w:szCs w:val="24"/>
        </w:rPr>
      </w:pPr>
    </w:p>
    <w:p w14:paraId="4AA5D5CE" w14:textId="0F462F8C" w:rsidR="00FF728F" w:rsidRPr="009004A9" w:rsidRDefault="009004A9" w:rsidP="00FF728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ALGORITMO:</w:t>
      </w:r>
    </w:p>
    <w:p w14:paraId="614AC3BE" w14:textId="77777777" w:rsidR="009004A9" w:rsidRPr="009004A9" w:rsidRDefault="009004A9" w:rsidP="009004A9">
      <w:pPr>
        <w:pStyle w:val="Prrafodelista"/>
        <w:rPr>
          <w:sz w:val="24"/>
          <w:szCs w:val="24"/>
        </w:rPr>
      </w:pPr>
    </w:p>
    <w:p w14:paraId="5FB66044" w14:textId="33A080F2" w:rsidR="00FF728F" w:rsidRDefault="00DA4444" w:rsidP="00FF728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matemáticas, lógica, ciencias de la computación y disciplinas relacionadas, un algoritmo es un conjunto de instrucciones o reglas definidas y no-ambiguas, ordenadas y finitas que permite, típicamente, solucionar un problema, realizar un </w:t>
      </w:r>
      <w:proofErr w:type="spellStart"/>
      <w:r>
        <w:rPr>
          <w:sz w:val="24"/>
          <w:szCs w:val="24"/>
        </w:rPr>
        <w:t>computo</w:t>
      </w:r>
      <w:proofErr w:type="spellEnd"/>
      <w:r>
        <w:rPr>
          <w:sz w:val="24"/>
          <w:szCs w:val="24"/>
        </w:rPr>
        <w:t>, procesar datos y llevar a cabo otras tareas o actividades. Dados un estado inicial y una entrada, siguiendo los pasos sucesivos se llega a un estado final y se obtiene una solución. Los algoritmos son el objeto de estudio de la algoritmia.</w:t>
      </w:r>
    </w:p>
    <w:p w14:paraId="2F7F98A9" w14:textId="0806D1FB" w:rsidR="00DA4444" w:rsidRDefault="00DA4444" w:rsidP="00FF728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términos de programación, un algoritmo es una secuencia de pasos lógicos que permiten solucionar un problema.</w:t>
      </w:r>
    </w:p>
    <w:p w14:paraId="08B242FC" w14:textId="77777777" w:rsidR="00DA4444" w:rsidRDefault="00DA4444" w:rsidP="00FF728F">
      <w:pPr>
        <w:pStyle w:val="Prrafodelista"/>
        <w:rPr>
          <w:sz w:val="24"/>
          <w:szCs w:val="24"/>
        </w:rPr>
      </w:pPr>
    </w:p>
    <w:p w14:paraId="260B4030" w14:textId="4697D0EC" w:rsidR="00DA4444" w:rsidRDefault="00DA4444" w:rsidP="00DA44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DIAGRAMA DE FLUJO:</w:t>
      </w:r>
    </w:p>
    <w:p w14:paraId="4936C699" w14:textId="4E723203" w:rsidR="00DA4444" w:rsidRDefault="00DA4444" w:rsidP="00DA44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Las descripciones en lenguaje natural tienden a ser ambiguas y extensas. El usar pseudocódigo y diagramas de flujo evita muchas ambigüedades del lenguaje natural. Dichas expresiones son formas más estruc</w:t>
      </w:r>
      <w:r w:rsidR="000964B0">
        <w:rPr>
          <w:sz w:val="24"/>
          <w:szCs w:val="24"/>
        </w:rPr>
        <w:t>turadas para representar algoritmos; no obstante, se mantienen independientes de un lenguaje de programación específico.</w:t>
      </w:r>
    </w:p>
    <w:p w14:paraId="53CC6207" w14:textId="1FB09600" w:rsidR="000964B0" w:rsidRDefault="000964B0" w:rsidP="00DA44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diagramas de flujo son descripciones gráficas de algoritmos; usan símbolos conectados con flechas para indicar la secuencia de instrucciones y están regidos por ISO.</w:t>
      </w:r>
    </w:p>
    <w:p w14:paraId="54774987" w14:textId="1DD02B70" w:rsidR="000964B0" w:rsidRDefault="000964B0" w:rsidP="00DA44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diagramas de flujo son usados para representar algoritmos pequeños, ya que abarcan mucho espacio y su construcción es laboriosa. Por su facilidad de lectura son usados como introducción a los algoritmos, descripción de un lenguaje y descripción de procesos a personas ajenas a la computación.</w:t>
      </w:r>
    </w:p>
    <w:p w14:paraId="561F30AB" w14:textId="059AE6D1" w:rsidR="00AF3704" w:rsidRDefault="00AF3704" w:rsidP="00DA4444">
      <w:pPr>
        <w:pStyle w:val="Prrafodelista"/>
        <w:rPr>
          <w:sz w:val="24"/>
          <w:szCs w:val="24"/>
        </w:rPr>
      </w:pPr>
    </w:p>
    <w:tbl>
      <w:tblPr>
        <w:tblW w:w="9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075"/>
        <w:gridCol w:w="3015"/>
      </w:tblGrid>
      <w:tr w:rsidR="00AF3704" w:rsidRPr="00AF3704" w14:paraId="4100E36A" w14:textId="77777777" w:rsidTr="00AF37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3A414A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098D098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diagrama de flujo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A414A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18747D7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A414A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DDBB6CF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Descripción</w:t>
            </w:r>
          </w:p>
        </w:tc>
      </w:tr>
      <w:tr w:rsidR="00AF3704" w:rsidRPr="00AF3704" w14:paraId="535231AA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A212688" w14:textId="6317069E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1D408F6E" wp14:editId="336C76D1">
                  <wp:extent cx="571500" cy="425450"/>
                  <wp:effectExtent l="0" t="0" r="0" b="0"/>
                  <wp:docPr id="8" name="Imagen 8" descr="Símbolo de proceso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ímbolo de proceso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4D0251E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proceso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02CD774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También conocido como "símbolo de acción", esta figura representa un proceso, una acción o una función. Es el símbolo más ampliamente usado en los diagramas de flujo.</w:t>
            </w:r>
          </w:p>
        </w:tc>
      </w:tr>
      <w:tr w:rsidR="00AF3704" w:rsidRPr="00AF3704" w14:paraId="7C58C3DC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3482D44" w14:textId="4DAC7DFE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50CB2A3B" wp14:editId="5191490E">
                  <wp:extent cx="571500" cy="298450"/>
                  <wp:effectExtent l="0" t="0" r="0" b="6350"/>
                  <wp:docPr id="7" name="Imagen 7" descr="Símbolo de inicio y fin de diagrama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ímbolo de inicio y fin de diagrama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2FD37C8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inicio y 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751E8B1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 xml:space="preserve">También conocido como "símbolo terminador", este símbolo representa el </w:t>
            </w:r>
            <w:r w:rsidRPr="00AF3704">
              <w:rPr>
                <w:sz w:val="24"/>
                <w:szCs w:val="24"/>
              </w:rPr>
              <w:lastRenderedPageBreak/>
              <w:t>punto de inicio, el punto de fin y los posibles resultados de un camino. A menudo contiene las palabras "Inicio" o "Fin" dentro de la figura.</w:t>
            </w:r>
          </w:p>
        </w:tc>
      </w:tr>
      <w:tr w:rsidR="00AF3704" w:rsidRPr="00AF3704" w14:paraId="5B563690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45ECEE6" w14:textId="3F7A6F99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lastRenderedPageBreak/>
              <w:drawing>
                <wp:inline distT="0" distB="0" distL="0" distR="0" wp14:anchorId="1D1FE6E9" wp14:editId="2101071C">
                  <wp:extent cx="571500" cy="438150"/>
                  <wp:effectExtent l="0" t="0" r="0" b="0"/>
                  <wp:docPr id="6" name="Imagen 6" descr="símbolo de documento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ímbolo de documento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43430AF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documento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13C8F68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Más específicamente, representa la entrada o la salida de un documento. Algunos ejemplos de entradas son recibir un informe, un mensaje de correo electrónico o un pedido. Algunos ejemplos de salida que usan un símbolo de documento incluyen generar una presentación, un memo o una carta.</w:t>
            </w:r>
          </w:p>
        </w:tc>
      </w:tr>
      <w:tr w:rsidR="00AF3704" w:rsidRPr="00AF3704" w14:paraId="457A1E89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5780B7B" w14:textId="21AFB49A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6BEA4B70" wp14:editId="70D11F6E">
                  <wp:extent cx="571500" cy="438150"/>
                  <wp:effectExtent l="0" t="0" r="0" b="0"/>
                  <wp:docPr id="5" name="Imagen 5" descr="Símbolo de decisión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ímbolo de decisión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95D2701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decisión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5AE297B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Indican una pregunta que debe responderse —por lo general sí/no o verdadero/falso. El camino del diagrama de flujo puede dividirse en diferentes ramas, según la respuesta o las consecuencias que se sucedan.</w:t>
            </w:r>
          </w:p>
        </w:tc>
      </w:tr>
      <w:tr w:rsidR="00AF3704" w:rsidRPr="00AF3704" w14:paraId="577F012B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8F25937" w14:textId="3A39B8F6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165CFCE1" wp14:editId="0F7FF07E">
                  <wp:extent cx="571500" cy="381000"/>
                  <wp:effectExtent l="0" t="0" r="0" b="0"/>
                  <wp:docPr id="4" name="Imagen 4" descr="Símbolo de conector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ímbolo de conector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4557EF5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conector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EF426BD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Por lo general, este símbolo se emplea en los diagramas más complejos y conecta elementos separados en una página.</w:t>
            </w:r>
          </w:p>
        </w:tc>
      </w:tr>
      <w:tr w:rsidR="00AF3704" w:rsidRPr="00AF3704" w14:paraId="03B3310B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E5CA6AA" w14:textId="2B73847F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085DFA84" wp14:editId="4F1D2078">
                  <wp:extent cx="571500" cy="476250"/>
                  <wp:effectExtent l="0" t="0" r="0" b="0"/>
                  <wp:docPr id="3" name="Imagen 3" descr="Símbolo de conector fuera de página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ímbolo de conector fuera de página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3728BA6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conector/enlace fuera de página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C640225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 xml:space="preserve">Frecuentemente se emplea en los diagramas más complejos para conectar elementos </w:t>
            </w:r>
            <w:r w:rsidRPr="00AF3704">
              <w:rPr>
                <w:sz w:val="24"/>
                <w:szCs w:val="24"/>
              </w:rPr>
              <w:lastRenderedPageBreak/>
              <w:t>separados en múltiples páginas, con el número de página colocado sobre o dentro de la propia figura para una referencia sencilla.</w:t>
            </w:r>
          </w:p>
        </w:tc>
      </w:tr>
      <w:tr w:rsidR="00AF3704" w:rsidRPr="00AF3704" w14:paraId="270E32EF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C6D202E" w14:textId="65016FB6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lastRenderedPageBreak/>
              <w:drawing>
                <wp:inline distT="0" distB="0" distL="0" distR="0" wp14:anchorId="186044F7" wp14:editId="0001ED83">
                  <wp:extent cx="571500" cy="438150"/>
                  <wp:effectExtent l="0" t="0" r="0" b="0"/>
                  <wp:docPr id="2" name="Imagen 2" descr="Símbolo de entrada y salida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ímbolo de entrada y salida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1784C7E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entrada y 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F1B5811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Esta figura, que también se conoce como "símbolo de datos", representa los datos que están disponibles como entrada o salida, y también representa los recursos empleados o generados. A pesar de que el símbolo de la cinta de papel también representa la entrada/salida, está obsoleto y ya no se usa en los diagramas de flujo.</w:t>
            </w:r>
          </w:p>
        </w:tc>
      </w:tr>
      <w:tr w:rsidR="00AF3704" w:rsidRPr="00AF3704" w14:paraId="0A1EEECB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6C4BB7C" w14:textId="26D0BBF3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4042753F" wp14:editId="2E705745">
                  <wp:extent cx="571500" cy="762000"/>
                  <wp:effectExtent l="0" t="0" r="0" b="0"/>
                  <wp:docPr id="1" name="Imagen 1" descr="Símbolo de comentario de los diagramas de fl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ímbolo de comentario de los diagramas de fl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4597AE3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comentario o nota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7CC0D17" w14:textId="41D9E49B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Este símbolo, empleado junto con contexto, agrega una explicación o comentarios necesarios dentro de un rango específico. También puede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conectarse </w:t>
            </w:r>
            <w:r w:rsidRPr="00AF3704">
              <w:rPr>
                <w:sz w:val="24"/>
                <w:szCs w:val="24"/>
              </w:rPr>
              <w:t xml:space="preserve"> mediante</w:t>
            </w:r>
            <w:proofErr w:type="gramEnd"/>
            <w:r w:rsidRPr="00AF3704">
              <w:rPr>
                <w:sz w:val="24"/>
                <w:szCs w:val="24"/>
              </w:rPr>
              <w:t xml:space="preserve"> una línea discontinua a la sección correspondiente del diagrama de flujo.</w:t>
            </w:r>
          </w:p>
        </w:tc>
      </w:tr>
      <w:tr w:rsidR="00AF3704" w:rsidRPr="00AF3704" w14:paraId="7F4DE457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A04C364" w14:textId="77777777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diagrama de flujo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3C8B855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6546906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Descripción</w:t>
            </w:r>
          </w:p>
        </w:tc>
      </w:tr>
      <w:tr w:rsidR="00AF3704" w:rsidRPr="00AF3704" w14:paraId="33D0225A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A3DE3A6" w14:textId="0A231064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19A44A23" wp14:editId="5BE20D3F">
                  <wp:extent cx="571500" cy="571500"/>
                  <wp:effectExtent l="0" t="0" r="0" b="0"/>
                  <wp:docPr id="38" name="Imagen 38" descr="Símbolo de base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Símbolo de base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35355DB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base de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F11AABF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Representa los datos alojados en un servicio de almacenamiento que probablemente permitirá buscar y filtrar por usuarios.</w:t>
            </w:r>
          </w:p>
        </w:tc>
      </w:tr>
      <w:tr w:rsidR="00AF3704" w:rsidRPr="00AF3704" w14:paraId="10D1B08C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2C29CAD" w14:textId="12D4EF0D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lastRenderedPageBreak/>
              <w:drawing>
                <wp:inline distT="0" distB="0" distL="0" distR="0" wp14:anchorId="4EBCE1D4" wp14:editId="5683A16E">
                  <wp:extent cx="2286000" cy="1905000"/>
                  <wp:effectExtent l="0" t="0" r="0" b="0"/>
                  <wp:docPr id="37" name="Imagen 37" descr="Símbolo de cinta de 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ímbolo de cinta de pa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F018BB7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cinta de papel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959B06A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obsoleto rara vez empleado en las prácticas o los flujos de proceso modernos. No obstante, se podría usar este símbolo cuando se trazan procesos o métodos de ingreso en computadoras y máquinas CNC mucho más antiguas.</w:t>
            </w:r>
          </w:p>
        </w:tc>
      </w:tr>
      <w:tr w:rsidR="00AF3704" w:rsidRPr="00AF3704" w14:paraId="3AA8EF06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76E9CC3" w14:textId="7735C30B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3F3055F0" wp14:editId="14A41E94">
                  <wp:extent cx="571500" cy="349250"/>
                  <wp:effectExtent l="0" t="0" r="0" b="0"/>
                  <wp:docPr id="36" name="Imagen 36" descr="Símbolo de suma o un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ímbolo de suma o un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980BDA1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suma o unión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AF7ACB1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Suma las entradas de varias rutas que convergen.</w:t>
            </w:r>
          </w:p>
        </w:tc>
      </w:tr>
      <w:tr w:rsidR="00AF3704" w:rsidRPr="00AF3704" w14:paraId="74E89504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DE6823B" w14:textId="680A725E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3C5D9C73" wp14:editId="4A242774">
                  <wp:extent cx="571500" cy="425450"/>
                  <wp:effectExtent l="0" t="0" r="0" b="0"/>
                  <wp:docPr id="35" name="Imagen 35" descr="Símbolo de proceso predefi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Símbolo de proceso predefi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F1F1576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proceso predefinido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6870571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Indica un proceso u operación complicado que es bien conocido o definido en otro lado.</w:t>
            </w:r>
          </w:p>
        </w:tc>
      </w:tr>
      <w:tr w:rsidR="00AF3704" w:rsidRPr="00AF3704" w14:paraId="761468BE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9A9B9E9" w14:textId="64CB3CE1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6E47AD75" wp14:editId="1A91C1F9">
                  <wp:extent cx="2286000" cy="1905000"/>
                  <wp:effectExtent l="0" t="0" r="0" b="0"/>
                  <wp:docPr id="34" name="Imagen 34" descr="Símbolo de almacenamiento inte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ímbolo de almacenamiento inter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F4DD213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almacenamiento interno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780DFBF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Empleada comúnmente para trazar los diseños de software, esta figura indica los datos almacenados en la memoria interna.</w:t>
            </w:r>
          </w:p>
        </w:tc>
      </w:tr>
      <w:tr w:rsidR="00AF3704" w:rsidRPr="00AF3704" w14:paraId="7A7B280A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803305F" w14:textId="762582B0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4ED65EDC" wp14:editId="59B7AAEF">
                  <wp:extent cx="571500" cy="425450"/>
                  <wp:effectExtent l="0" t="0" r="0" b="0"/>
                  <wp:docPr id="33" name="Imagen 33" descr="Símbolo de entrada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Símbolo de entrada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D635CFD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entrada 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7F343C1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Representa la entrada manual de datos en un campo o paso del proceso, por lo general a través del teclado o de un dispositivo. Por ejemplo, en el proceso de inicio de sesión cuando se le pide al usuario que ingrese los datos manualmente.</w:t>
            </w:r>
          </w:p>
        </w:tc>
      </w:tr>
      <w:tr w:rsidR="00AF3704" w:rsidRPr="00AF3704" w14:paraId="5186744B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1BBFB2C" w14:textId="01F79928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lastRenderedPageBreak/>
              <w:drawing>
                <wp:inline distT="0" distB="0" distL="0" distR="0" wp14:anchorId="1101F36B" wp14:editId="656F82BE">
                  <wp:extent cx="571500" cy="438150"/>
                  <wp:effectExtent l="0" t="0" r="0" b="0"/>
                  <wp:docPr id="32" name="Imagen 32" descr="símbolo de operación man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símbolo de operación man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39FA46D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operación 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E738A1E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Indica un paso que se debe realizar de forma manual, no automáticamente.</w:t>
            </w:r>
          </w:p>
        </w:tc>
      </w:tr>
      <w:tr w:rsidR="00AF3704" w:rsidRPr="00AF3704" w14:paraId="7E983443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E284175" w14:textId="67FE33F2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12E40D04" wp14:editId="7CB28751">
                  <wp:extent cx="571500" cy="438150"/>
                  <wp:effectExtent l="0" t="0" r="0" b="0"/>
                  <wp:docPr id="31" name="Imagen 31" descr="Símbolo de fus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Símbolo de fus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963E1AC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fusión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7D557DA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Combina múltiples caminos en uno solo.</w:t>
            </w:r>
          </w:p>
        </w:tc>
      </w:tr>
      <w:tr w:rsidR="00AF3704" w:rsidRPr="00AF3704" w14:paraId="0AAD3AD4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019E806" w14:textId="4963AD25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51D40E52" wp14:editId="506B8F42">
                  <wp:extent cx="571500" cy="438150"/>
                  <wp:effectExtent l="0" t="0" r="0" b="0"/>
                  <wp:docPr id="30" name="Imagen 30" descr="Símbolo de documentos múlt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Símbolo de documentos múltip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CE7076B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documentos múltiples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6147A85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Representa documentos o informes múltiples.</w:t>
            </w:r>
          </w:p>
        </w:tc>
      </w:tr>
      <w:tr w:rsidR="00AF3704" w:rsidRPr="00AF3704" w14:paraId="6367DE70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2B689E5" w14:textId="04D27BF1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4F363EA6" wp14:editId="035C3E66">
                  <wp:extent cx="571500" cy="438150"/>
                  <wp:effectExtent l="0" t="0" r="0" b="0"/>
                  <wp:docPr id="29" name="Imagen 29" descr="Símbolo de prepar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Símbolo de prepar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FD4D67B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preparación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33500AE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Diferencia entre los pasos que preparan para el trabajo y los pasos que realmente hacen el trabajo. Ayuda a introducir la configuración en otro paso dentro del mismo proceso.</w:t>
            </w:r>
          </w:p>
        </w:tc>
      </w:tr>
      <w:tr w:rsidR="00AF3704" w:rsidRPr="00AF3704" w14:paraId="6C29045B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2CD569D" w14:textId="152353F4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6F0E3E7E" wp14:editId="3A3B6F23">
                  <wp:extent cx="2286000" cy="1905000"/>
                  <wp:effectExtent l="0" t="0" r="0" b="0"/>
                  <wp:docPr id="28" name="Imagen 28" descr="Símbolo de datos almacen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Símbolo de datos almacen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A809C67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datos almacenados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2FCED50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Esta figura, también conocida como símbolo de "almacenamiento de datos", representa dónde se almacenan los datos en un proceso.</w:t>
            </w:r>
          </w:p>
        </w:tc>
      </w:tr>
      <w:tr w:rsidR="00AF3704" w:rsidRPr="00AF3704" w14:paraId="7E7510C8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C98FF48" w14:textId="4A7DCEFF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10805FF6" wp14:editId="00F4CD8A">
                  <wp:extent cx="1905000" cy="1905000"/>
                  <wp:effectExtent l="0" t="0" r="0" b="0"/>
                  <wp:docPr id="27" name="Imagen 27" descr="Símbolo de retra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Símbolo de retra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4866079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retraso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22FCA6B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Representa un segmento de retraso en un proceso. Puede ser útil para indicar la duración exacta del retraso dentro de la figura.</w:t>
            </w:r>
          </w:p>
        </w:tc>
      </w:tr>
      <w:tr w:rsidR="00AF3704" w:rsidRPr="00AF3704" w14:paraId="5B837AE0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C11C569" w14:textId="527D0DD5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lastRenderedPageBreak/>
              <w:drawing>
                <wp:inline distT="0" distB="0" distL="0" distR="0" wp14:anchorId="27EE2155" wp14:editId="6ED3E820">
                  <wp:extent cx="1524000" cy="1524000"/>
                  <wp:effectExtent l="0" t="0" r="0" b="0"/>
                  <wp:docPr id="26" name="Imagen 26" descr="Símbolo &quot;o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Símbolo &quot;o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0CF4E8D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"</w:t>
            </w:r>
            <w:proofErr w:type="spellStart"/>
            <w:r w:rsidRPr="00AF3704">
              <w:rPr>
                <w:sz w:val="24"/>
                <w:szCs w:val="24"/>
              </w:rPr>
              <w:t>or</w:t>
            </w:r>
            <w:proofErr w:type="spellEnd"/>
            <w:r w:rsidRPr="00AF3704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C051F03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Tal como se describe, esta figura indica que el flujo del proceso de negocio continúa en dos o más caminos.</w:t>
            </w:r>
          </w:p>
        </w:tc>
      </w:tr>
      <w:tr w:rsidR="00AF3704" w:rsidRPr="00AF3704" w14:paraId="353E7763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E0DBEF9" w14:textId="20F75A35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75817FDC" wp14:editId="2C039852">
                  <wp:extent cx="2286000" cy="1905000"/>
                  <wp:effectExtent l="0" t="0" r="0" b="0"/>
                  <wp:docPr id="25" name="Imagen 25" descr="Símbolo de panta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Símbolo de panta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06445A6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pantalla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1D0E06D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Esta figura es útil para indicar dónde se mostrará la información dentro de un flujo de proceso.</w:t>
            </w:r>
          </w:p>
        </w:tc>
      </w:tr>
      <w:tr w:rsidR="00AF3704" w:rsidRPr="00AF3704" w14:paraId="1A6F6BB1" w14:textId="77777777" w:rsidTr="00AF37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876D6E0" w14:textId="0A0979C3" w:rsidR="00AF3704" w:rsidRPr="00AF3704" w:rsidRDefault="00AF3704" w:rsidP="00AF3704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drawing>
                <wp:inline distT="0" distB="0" distL="0" distR="0" wp14:anchorId="04130DCA" wp14:editId="14DD54C3">
                  <wp:extent cx="2286000" cy="1905000"/>
                  <wp:effectExtent l="0" t="0" r="0" b="0"/>
                  <wp:docPr id="24" name="Imagen 24" descr="símbolo de disco ríg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símbolo de disco ríg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21E14E9" w14:textId="77777777" w:rsidR="00AF3704" w:rsidRPr="00AF3704" w:rsidRDefault="00AF3704" w:rsidP="00AF3704">
            <w:pPr>
              <w:spacing w:after="0" w:line="240" w:lineRule="auto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Símbolo de disco rígido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714F7B4" w14:textId="77777777" w:rsidR="00AF3704" w:rsidRPr="00AF3704" w:rsidRDefault="00AF3704" w:rsidP="00AF3704">
            <w:pPr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AF3704">
              <w:rPr>
                <w:sz w:val="24"/>
                <w:szCs w:val="24"/>
              </w:rPr>
              <w:t>Indica dónde están almacenados los datos dentro del disco rígido, también conocido como almacenamiento de acceso directo.</w:t>
            </w:r>
          </w:p>
        </w:tc>
      </w:tr>
    </w:tbl>
    <w:p w14:paraId="22959979" w14:textId="77777777" w:rsidR="00AF3704" w:rsidRDefault="00AF3704" w:rsidP="00DA4444">
      <w:pPr>
        <w:pStyle w:val="Prrafodelista"/>
        <w:rPr>
          <w:sz w:val="24"/>
          <w:szCs w:val="24"/>
        </w:rPr>
      </w:pPr>
      <w:bookmarkStart w:id="0" w:name="_GoBack"/>
      <w:bookmarkEnd w:id="0"/>
    </w:p>
    <w:p w14:paraId="70A1D7E8" w14:textId="0BE4CACF" w:rsidR="000964B0" w:rsidRDefault="000964B0" w:rsidP="00DA4444">
      <w:pPr>
        <w:pStyle w:val="Prrafodelista"/>
        <w:rPr>
          <w:sz w:val="24"/>
          <w:szCs w:val="24"/>
        </w:rPr>
      </w:pPr>
    </w:p>
    <w:p w14:paraId="63450D7C" w14:textId="4758D2F9" w:rsidR="000964B0" w:rsidRPr="000964B0" w:rsidRDefault="000964B0" w:rsidP="00096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CONVENCION DE PROGRAMACION:</w:t>
      </w:r>
    </w:p>
    <w:p w14:paraId="35A26F6E" w14:textId="2FEDC8AC" w:rsidR="000964B0" w:rsidRDefault="00E95BEC" w:rsidP="000964B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Conjunto de directrices para un lenguaje de programación concreto que recomienda estilo, prácticas y métodos de programación para cada aspecto de un programa escrito en cada lenguaje. Estas convenciones normalmente comprenden gestión de archivos, </w:t>
      </w:r>
      <w:r w:rsidR="00293110">
        <w:rPr>
          <w:sz w:val="24"/>
          <w:szCs w:val="24"/>
        </w:rPr>
        <w:t>sangría</w:t>
      </w:r>
      <w:r>
        <w:rPr>
          <w:sz w:val="24"/>
          <w:szCs w:val="24"/>
        </w:rPr>
        <w:t xml:space="preserve">, comentarios, declaraciones, sentencias, espaciado, convenciones de nombres, buenas practicas de programación, principios de programación, buenas practicas de arquitectura, etc. Estas son directrices para la calidad estructural del software. </w:t>
      </w:r>
    </w:p>
    <w:p w14:paraId="66EB8FDD" w14:textId="3593F1B9" w:rsidR="00E95BEC" w:rsidRDefault="00E95BEC" w:rsidP="000964B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razón citada mas a menudo para seguir las convenciones de programación es reducir el coste de mantenimiento de software:</w:t>
      </w:r>
    </w:p>
    <w:p w14:paraId="07AD22F9" w14:textId="29DB3668" w:rsidR="00E95BEC" w:rsidRDefault="00E95BEC" w:rsidP="00E95BE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40-80% del coste de tiempo de un trozo de código va a mantenimiento</w:t>
      </w:r>
    </w:p>
    <w:p w14:paraId="59C2F771" w14:textId="04A95539" w:rsidR="00E95BEC" w:rsidRDefault="00293110" w:rsidP="00E95BE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Difícilmente</w:t>
      </w:r>
      <w:r w:rsidR="00E95BEC">
        <w:rPr>
          <w:sz w:val="24"/>
          <w:szCs w:val="24"/>
        </w:rPr>
        <w:t xml:space="preserve"> algún software</w:t>
      </w:r>
      <w:r>
        <w:rPr>
          <w:sz w:val="24"/>
          <w:szCs w:val="24"/>
        </w:rPr>
        <w:t xml:space="preserve"> es mantenido por su autor original durante su vida entera</w:t>
      </w:r>
    </w:p>
    <w:p w14:paraId="59959E8B" w14:textId="1A866A2E" w:rsidR="00293110" w:rsidRDefault="00293110" w:rsidP="00E95BE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Las convenciones de código mejoran la legibilidad del software, permitiendo a los ingenieros entender código nuevo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deprisa y exhaustivamente.</w:t>
      </w:r>
    </w:p>
    <w:p w14:paraId="31A42A4C" w14:textId="3DA55750" w:rsidR="00293110" w:rsidRPr="009004A9" w:rsidRDefault="00293110" w:rsidP="00E95BE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empaquetas el código fuente como producto, necesitas estar seguro de que está bien empaquetado y limpio como cualquier otro producto que hayas creado.</w:t>
      </w:r>
    </w:p>
    <w:sectPr w:rsidR="00293110" w:rsidRPr="0090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67B27"/>
    <w:multiLevelType w:val="hybridMultilevel"/>
    <w:tmpl w:val="B9405B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6A2348"/>
    <w:multiLevelType w:val="hybridMultilevel"/>
    <w:tmpl w:val="895AD8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459E3"/>
    <w:multiLevelType w:val="hybridMultilevel"/>
    <w:tmpl w:val="793C8E44"/>
    <w:lvl w:ilvl="0" w:tplc="EA380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25"/>
    <w:rsid w:val="000964B0"/>
    <w:rsid w:val="00293110"/>
    <w:rsid w:val="009004A9"/>
    <w:rsid w:val="00942FEC"/>
    <w:rsid w:val="009A1A25"/>
    <w:rsid w:val="00A053CF"/>
    <w:rsid w:val="00AF3704"/>
    <w:rsid w:val="00C361FE"/>
    <w:rsid w:val="00DA4444"/>
    <w:rsid w:val="00E95BEC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F048"/>
  <w15:chartTrackingRefBased/>
  <w15:docId w15:val="{2EB8ACDB-2FC0-47D0-A332-638AF5B6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ss-10ib5jr">
    <w:name w:val="css-10ib5jr"/>
    <w:basedOn w:val="Normal"/>
    <w:rsid w:val="00AF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72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9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063">
              <w:marLeft w:val="0"/>
              <w:marRight w:val="0"/>
              <w:marTop w:val="0"/>
              <w:marBottom w:val="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</w:divsChild>
        </w:div>
      </w:divsChild>
    </w:div>
    <w:div w:id="1240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Ziortza Ispizua</dc:creator>
  <cp:keywords/>
  <dc:description/>
  <cp:lastModifiedBy>Ziortza Ispizua</cp:lastModifiedBy>
  <cp:revision>3</cp:revision>
  <dcterms:created xsi:type="dcterms:W3CDTF">2020-12-05T18:55:00Z</dcterms:created>
  <dcterms:modified xsi:type="dcterms:W3CDTF">2020-12-05T20:11:00Z</dcterms:modified>
</cp:coreProperties>
</file>