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0CD31" w14:textId="29379F4F" w:rsidR="00936902" w:rsidRDefault="008A698E">
      <w:r w:rsidRPr="008A698E">
        <w:fldChar w:fldCharType="begin"/>
      </w:r>
      <w:r w:rsidRPr="008A698E">
        <w:instrText>HYPERLINK "https://www.biorxiv.org/content/10.1101/2025.01.14.633076"</w:instrText>
      </w:r>
      <w:r w:rsidRPr="008A698E">
        <w:fldChar w:fldCharType="separate"/>
      </w:r>
      <w:r w:rsidRPr="008A698E">
        <w:rPr>
          <w:rStyle w:val="ae"/>
        </w:rPr>
        <w:t>Sequence-based Drug-Target Binding Site Pre-</w:t>
      </w:r>
      <w:proofErr w:type="gramStart"/>
      <w:r w:rsidRPr="008A698E">
        <w:rPr>
          <w:rStyle w:val="ae"/>
        </w:rPr>
        <w:t>training</w:t>
      </w:r>
      <w:proofErr w:type="gramEnd"/>
      <w:r w:rsidRPr="008A698E">
        <w:rPr>
          <w:rStyle w:val="ae"/>
        </w:rPr>
        <w:t xml:space="preserve"> Enables Cryptic Pocket Detection and Improves Binding Affinity and Kinetics Prediction</w:t>
      </w:r>
      <w:r w:rsidRPr="008A698E">
        <w:fldChar w:fldCharType="end"/>
      </w:r>
    </w:p>
    <w:p w14:paraId="111BEF62" w14:textId="5800EC44" w:rsidR="008A698E" w:rsidRDefault="008A698E">
      <w:r w:rsidRPr="008A698E">
        <w:t xml:space="preserve">Predicting protein-ligand binding processes, such as affinity and kinetics, is critical for accelerating drug discovery. However, many existing computational methods face key limitations, including insufficient integration of comprehensive databases, inadequate representation of protein structural dynamics, and incomplete modeling of microscale protein-ligand interactions. To address these challenges, we introduce </w:t>
      </w:r>
      <w:proofErr w:type="spellStart"/>
      <w:r w:rsidRPr="008A698E">
        <w:t>ProMoNet</w:t>
      </w:r>
      <w:proofErr w:type="spellEnd"/>
      <w:r w:rsidRPr="008A698E">
        <w:t xml:space="preserve">, a sequence-based pre-training and fine-tuning framework to enhance protein-ligand binding process prediction. </w:t>
      </w:r>
      <w:proofErr w:type="spellStart"/>
      <w:r w:rsidRPr="008A698E">
        <w:t>ProMoNet</w:t>
      </w:r>
      <w:proofErr w:type="spellEnd"/>
      <w:r w:rsidRPr="008A698E">
        <w:t xml:space="preserve"> connects protein and molecular foundation models to expand data coverage and enhance diversity, and it integrates large-scale binding site pre-training with efficient fine-tuning for affinity and kinetics prediction. During pre-training, it effectively models microscale protein-ligand interactions and captures the dynamic nature of proteins, including binding site crypticity, without relying on 3-dimensional structural inputs. Notably, </w:t>
      </w:r>
      <w:proofErr w:type="spellStart"/>
      <w:r w:rsidRPr="008A698E">
        <w:t>ProMoNet’s</w:t>
      </w:r>
      <w:proofErr w:type="spellEnd"/>
      <w:r w:rsidRPr="008A698E">
        <w:t xml:space="preserve"> pre-training module surpasses or matches state-of-the-art structure-based methods in identifying exposed and cryptic binding sites. In the fine-tuning stage, it transfers pre-trained knowledge, achieving superior performance in affinity and kinetics prediction tasks with high computational efficiency. The combination of </w:t>
      </w:r>
      <w:proofErr w:type="spellStart"/>
      <w:r w:rsidRPr="008A698E">
        <w:t>ProMoNet’s</w:t>
      </w:r>
      <w:proofErr w:type="spellEnd"/>
      <w:r w:rsidRPr="008A698E">
        <w:t xml:space="preserve"> powerful modeling capabilities and demonstrated success across multiple tasks </w:t>
      </w:r>
      <w:proofErr w:type="gramStart"/>
      <w:r w:rsidRPr="008A698E">
        <w:t>highlight</w:t>
      </w:r>
      <w:proofErr w:type="gramEnd"/>
      <w:r w:rsidRPr="008A698E">
        <w:t xml:space="preserve"> its potential for broad applications in drug discovery.</w:t>
      </w:r>
    </w:p>
    <w:p w14:paraId="2C3D7276" w14:textId="74F5FED6" w:rsidR="008A698E" w:rsidRDefault="008A698E" w:rsidP="008A698E">
      <w:r w:rsidRPr="008A698E">
        <w:t xml:space="preserve">Multimodal out-of-distribution individual uncertainty quantification enhances binding affinity prediction for </w:t>
      </w:r>
      <w:proofErr w:type="spellStart"/>
      <w:r w:rsidRPr="008A698E">
        <w:t>polypharmacology</w:t>
      </w:r>
      <w:proofErr w:type="spellEnd"/>
    </w:p>
    <w:p w14:paraId="67C67D12" w14:textId="7C6D7E53" w:rsidR="008A698E" w:rsidRDefault="008A698E" w:rsidP="008A698E">
      <w:proofErr w:type="spellStart"/>
      <w:r w:rsidRPr="008A698E">
        <w:t>Polypharmacology</w:t>
      </w:r>
      <w:proofErr w:type="spellEnd"/>
      <w:r w:rsidRPr="008A698E">
        <w:t xml:space="preserve">, a single drug that targets multiple proteins, holds promise for addressing unmet medical needs. Achieving accurate, reliable and scalable predictions of protein–ligand binding affinity across multiple proteins is crucial to realizing the potential of </w:t>
      </w:r>
      <w:proofErr w:type="spellStart"/>
      <w:r w:rsidRPr="008A698E">
        <w:t>polypharmacology</w:t>
      </w:r>
      <w:proofErr w:type="spellEnd"/>
      <w:r w:rsidRPr="008A698E">
        <w:t xml:space="preserve">. Machine learning offers a powerful tool for multitarget binding affinity prediction. However, three major challenges remain: generalizing predictions to out-of-distribution compounds that are structurally different from those in the training data; quantifying the uncertainty of predictions in out-of-distribution scenarios where the assumption underlying existing methods does not hold; and scaling to billions of compounds, which remains unattainable for current structure-based methods. Here, to overcome these challenges, we propose a model-agnostic anomaly detection-based individual uncertainty quantification method: embedding </w:t>
      </w:r>
      <w:proofErr w:type="spellStart"/>
      <w:r w:rsidRPr="008A698E">
        <w:t>Mahalanobis</w:t>
      </w:r>
      <w:proofErr w:type="spellEnd"/>
      <w:r w:rsidRPr="008A698E">
        <w:t xml:space="preserve"> Outlier Scoring and Anomaly Identification via Clustering (eMOSAIC). eMOSAIC features the divergence between the multimodal representations of known cases and unseen instances and quantifies individual prediction uncertainty on a compound-by-compound basis. We integrate eMOSAIC with a multimodal deep neural network for multitarget ligand binding affinity predictions, leveraging a structure-informed large protein language model. Comprehensive validation in out-of-distribution settings demonstrates that eMOSAIC significantly outperforms state-of-the-art sequence-based and structure-based methods as well as existing uncertainty quantification approaches. These findings underscore </w:t>
      </w:r>
      <w:proofErr w:type="spellStart"/>
      <w:r w:rsidRPr="008A698E">
        <w:t>eMOSAIC’s</w:t>
      </w:r>
      <w:proofErr w:type="spellEnd"/>
      <w:r w:rsidRPr="008A698E">
        <w:t xml:space="preserve"> potential to advance real-world </w:t>
      </w:r>
      <w:proofErr w:type="spellStart"/>
      <w:r w:rsidRPr="008A698E">
        <w:t>polypharmacology</w:t>
      </w:r>
      <w:proofErr w:type="spellEnd"/>
      <w:r w:rsidRPr="008A698E">
        <w:t xml:space="preserve"> and other applications that require robust predictions and scalable solutions.</w:t>
      </w:r>
    </w:p>
    <w:p w14:paraId="1C7E8D59" w14:textId="2BBFA826" w:rsidR="008A698E" w:rsidRDefault="008A698E" w:rsidP="008A698E">
      <w:r w:rsidRPr="008A698E">
        <w:br/>
      </w:r>
    </w:p>
    <w:p w14:paraId="29E6544D" w14:textId="4F7E146E" w:rsidR="008A698E" w:rsidRDefault="008A698E" w:rsidP="008A698E">
      <w:hyperlink r:id="rId4" w:history="1">
        <w:r w:rsidRPr="008A698E">
          <w:rPr>
            <w:rStyle w:val="ae"/>
          </w:rPr>
          <w:t>MolGene-E: Inverse Molecular Design to Modulate Single Cell Transcriptomics</w:t>
        </w:r>
      </w:hyperlink>
    </w:p>
    <w:p w14:paraId="2C63BF45" w14:textId="459DE9A8" w:rsidR="008A698E" w:rsidRDefault="008A698E" w:rsidP="008A698E">
      <w:r w:rsidRPr="008A698E">
        <w:lastRenderedPageBreak/>
        <w:t xml:space="preserve">Designing drugs that can restore a diseased cell to its healthy state is an emerging approach in systems pharmacology to address medical needs that conventional target-based drug discovery paradigms have failed to meet. Single-cell transcriptomics can comprehensively map the difference between diseased and healthy cellular states, making it a valuable technique for systems pharmacology. However, single-cell omics data is highly noisy, heterogenous, scarce, and high-dimensional. As a result, no machine learning methods currently exist to use single-cell omics data to design new drug molecules. We have developed a new generative artificial intelligence (AI) framework named </w:t>
      </w:r>
      <w:proofErr w:type="spellStart"/>
      <w:r w:rsidRPr="008A698E">
        <w:t>MolGene</w:t>
      </w:r>
      <w:proofErr w:type="spellEnd"/>
      <w:r w:rsidRPr="008A698E">
        <w:t xml:space="preserve">-E that can tackle this challenge. </w:t>
      </w:r>
      <w:proofErr w:type="spellStart"/>
      <w:r w:rsidRPr="008A698E">
        <w:t>MolGene</w:t>
      </w:r>
      <w:proofErr w:type="spellEnd"/>
      <w:r w:rsidRPr="008A698E">
        <w:t>-E combines two novel models: 1) a cross-modal model that can harmonize and denoise chemical-perturbed data, and 2) A VAE-CLIP based generative model that can generate new drug molecules based on transcriptomics data. This makes it a potentially powerful new AI tool for drug discovery.</w:t>
      </w:r>
    </w:p>
    <w:p w14:paraId="1FC53131" w14:textId="55EB5F34" w:rsidR="008A698E" w:rsidRDefault="008A698E" w:rsidP="008A698E">
      <w:hyperlink r:id="rId5" w:history="1">
        <w:r w:rsidRPr="008A698E">
          <w:rPr>
            <w:rStyle w:val="ae"/>
          </w:rPr>
          <w:t>A Universal Framework for Accurate and Efficient Geometric Deep Learning of Molecular Systems</w:t>
        </w:r>
      </w:hyperlink>
    </w:p>
    <w:p w14:paraId="1125DFB1" w14:textId="54A738A4" w:rsidR="008A698E" w:rsidRDefault="008A698E" w:rsidP="008A698E">
      <w:r w:rsidRPr="008A698E">
        <w:t xml:space="preserve">Molecular sciences address a wide range of problems involving molecules of different types and sizes and their complexes. Recently, geometric deep learning, especially Graph Neural Networks, has shown promising performance in molecular science applications. However, most existing works often impose targeted inductive biases </w:t>
      </w:r>
      <w:proofErr w:type="gramStart"/>
      <w:r w:rsidRPr="008A698E">
        <w:t>to</w:t>
      </w:r>
      <w:proofErr w:type="gramEnd"/>
      <w:r w:rsidRPr="008A698E">
        <w:t xml:space="preserve"> a specific molecular </w:t>
      </w:r>
      <w:proofErr w:type="gramStart"/>
      <w:r w:rsidRPr="008A698E">
        <w:t>system, and</w:t>
      </w:r>
      <w:proofErr w:type="gramEnd"/>
      <w:r w:rsidRPr="008A698E">
        <w:t xml:space="preserve"> are inefficient when applied to macromolecules or large-scale tasks, thereby limiting their applications to many real-world problems. To address these challenges, we present </w:t>
      </w:r>
      <w:proofErr w:type="spellStart"/>
      <w:r w:rsidRPr="008A698E">
        <w:t>PAMNet</w:t>
      </w:r>
      <w:proofErr w:type="spellEnd"/>
      <w:r w:rsidRPr="008A698E">
        <w:t xml:space="preserve">, a universal framework for accurately and efficiently learning the representations of three-dimensional (3D) molecules of varying sizes and types in any molecular system. Inspired by molecular mechanics, </w:t>
      </w:r>
      <w:proofErr w:type="spellStart"/>
      <w:r w:rsidRPr="008A698E">
        <w:t>PAMNet</w:t>
      </w:r>
      <w:proofErr w:type="spellEnd"/>
      <w:r w:rsidRPr="008A698E">
        <w:t xml:space="preserve"> induces a physics-informed bias to explicitly model local and non-local interactions and their combined effects. As a result, </w:t>
      </w:r>
      <w:proofErr w:type="spellStart"/>
      <w:r w:rsidRPr="008A698E">
        <w:t>PAMNet</w:t>
      </w:r>
      <w:proofErr w:type="spellEnd"/>
      <w:r w:rsidRPr="008A698E">
        <w:t xml:space="preserve"> can reduce expensive operations, making it time and memory efficient. In extensive benchmark studies, </w:t>
      </w:r>
      <w:proofErr w:type="spellStart"/>
      <w:r w:rsidRPr="008A698E">
        <w:t>PAMNet</w:t>
      </w:r>
      <w:proofErr w:type="spellEnd"/>
      <w:r w:rsidRPr="008A698E">
        <w:t xml:space="preserve"> outperforms state-of-the-art baselines regarding both accuracy and efficiency in three diverse learning tasks: small molecule properties, RNA 3D structures, and protein-ligand binding affinities. Our results highlight the potential for </w:t>
      </w:r>
      <w:proofErr w:type="spellStart"/>
      <w:r w:rsidRPr="008A698E">
        <w:t>PAMNet</w:t>
      </w:r>
      <w:proofErr w:type="spellEnd"/>
      <w:r w:rsidRPr="008A698E">
        <w:t xml:space="preserve"> in a broad range of molecular science applications.</w:t>
      </w:r>
    </w:p>
    <w:p w14:paraId="38D1736A" w14:textId="77777777" w:rsidR="008A698E" w:rsidRDefault="008A698E" w:rsidP="008A698E">
      <w:r>
        <w:t>Physics-aware Graph Neural Network for Accurate</w:t>
      </w:r>
    </w:p>
    <w:p w14:paraId="4013E2C6" w14:textId="56457329" w:rsidR="008A698E" w:rsidRDefault="008A698E" w:rsidP="008A698E">
      <w:r>
        <w:t>RNA 3D Structure Prediction</w:t>
      </w:r>
    </w:p>
    <w:p w14:paraId="36B8819E" w14:textId="77777777" w:rsidR="008A698E" w:rsidRDefault="008A698E" w:rsidP="008A698E">
      <w:r>
        <w:t>Biological functions of RNAs are determined by their three-dimensional (3D)</w:t>
      </w:r>
    </w:p>
    <w:p w14:paraId="5F5161D7" w14:textId="77777777" w:rsidR="008A698E" w:rsidRDefault="008A698E" w:rsidP="008A698E">
      <w:r>
        <w:t>structures. Thus, given the limited number of experimentally determined RNA</w:t>
      </w:r>
    </w:p>
    <w:p w14:paraId="50234DF8" w14:textId="77777777" w:rsidR="008A698E" w:rsidRDefault="008A698E" w:rsidP="008A698E">
      <w:r>
        <w:t xml:space="preserve">structures, the prediction of RNA structures will facilitate elucidating RNA functions and RNA-targeted drug </w:t>
      </w:r>
      <w:proofErr w:type="gramStart"/>
      <w:r>
        <w:t>discovery, but</w:t>
      </w:r>
      <w:proofErr w:type="gramEnd"/>
      <w:r>
        <w:t xml:space="preserve"> remains a challenging task. In this</w:t>
      </w:r>
    </w:p>
    <w:p w14:paraId="75730D44" w14:textId="77777777" w:rsidR="008A698E" w:rsidRDefault="008A698E" w:rsidP="008A698E">
      <w:r>
        <w:t>work, we propose a Graph Neural Network (GNN)-based scoring function trained</w:t>
      </w:r>
    </w:p>
    <w:p w14:paraId="59D0D24D" w14:textId="77777777" w:rsidR="008A698E" w:rsidRDefault="008A698E" w:rsidP="008A698E">
      <w:r>
        <w:t>only with the atomic types and coordinates on limited solved RNA 3D structures</w:t>
      </w:r>
    </w:p>
    <w:p w14:paraId="3B20C3B1" w14:textId="77777777" w:rsidR="008A698E" w:rsidRDefault="008A698E" w:rsidP="008A698E">
      <w:r>
        <w:t>for distinguishing accurate structural models. The proposed Physics-aware Multiplex Graph Neural Network (</w:t>
      </w:r>
      <w:proofErr w:type="spellStart"/>
      <w:r>
        <w:t>PaxNet</w:t>
      </w:r>
      <w:proofErr w:type="spellEnd"/>
      <w:r>
        <w:t>) separately models the local and non-local</w:t>
      </w:r>
    </w:p>
    <w:p w14:paraId="73003078" w14:textId="77777777" w:rsidR="008A698E" w:rsidRDefault="008A698E" w:rsidP="008A698E">
      <w:r>
        <w:t xml:space="preserve">interactions inspired by molecular mechanics. Furthermore, </w:t>
      </w:r>
      <w:proofErr w:type="spellStart"/>
      <w:r>
        <w:t>PaxNet</w:t>
      </w:r>
      <w:proofErr w:type="spellEnd"/>
      <w:r>
        <w:t xml:space="preserve"> contains an</w:t>
      </w:r>
    </w:p>
    <w:p w14:paraId="69505D42" w14:textId="77777777" w:rsidR="008A698E" w:rsidRDefault="008A698E" w:rsidP="008A698E">
      <w:r>
        <w:t>attention-based fusion module that learns the individual contribution of each interaction type for the final prediction. We rigorously evaluate the performance of</w:t>
      </w:r>
    </w:p>
    <w:p w14:paraId="4B169BF2" w14:textId="77777777" w:rsidR="008A698E" w:rsidRDefault="008A698E" w:rsidP="008A698E">
      <w:proofErr w:type="spellStart"/>
      <w:r>
        <w:t>PaxNet</w:t>
      </w:r>
      <w:proofErr w:type="spellEnd"/>
      <w:r>
        <w:t xml:space="preserve"> on two benchmarks and compare it with several state-of-the-art baselines.</w:t>
      </w:r>
    </w:p>
    <w:p w14:paraId="3D696D21" w14:textId="77777777" w:rsidR="008A698E" w:rsidRDefault="008A698E" w:rsidP="008A698E">
      <w:r>
        <w:t xml:space="preserve">The results show that </w:t>
      </w:r>
      <w:proofErr w:type="spellStart"/>
      <w:r>
        <w:t>PaxNet</w:t>
      </w:r>
      <w:proofErr w:type="spellEnd"/>
      <w:r>
        <w:t xml:space="preserve"> significantly outperforms all the baselines overall,</w:t>
      </w:r>
    </w:p>
    <w:p w14:paraId="108C5924" w14:textId="77777777" w:rsidR="008A698E" w:rsidRDefault="008A698E" w:rsidP="008A698E">
      <w:r>
        <w:lastRenderedPageBreak/>
        <w:t xml:space="preserve">and demonstrate the potential of </w:t>
      </w:r>
      <w:proofErr w:type="spellStart"/>
      <w:r>
        <w:t>PaxNet</w:t>
      </w:r>
      <w:proofErr w:type="spellEnd"/>
      <w:r>
        <w:t xml:space="preserve"> for improving the 3D structure modeling</w:t>
      </w:r>
    </w:p>
    <w:p w14:paraId="155F0A5F" w14:textId="73447EDC" w:rsidR="008A698E" w:rsidRDefault="008A698E" w:rsidP="008A698E">
      <w:r>
        <w:t>of RNA and other macromolecules</w:t>
      </w:r>
    </w:p>
    <w:p w14:paraId="6CBB5491" w14:textId="77777777" w:rsidR="008A698E" w:rsidRDefault="008A698E" w:rsidP="008A698E">
      <w:r>
        <w:t>Molecular Mechanics-Driven Graph Neural Network</w:t>
      </w:r>
    </w:p>
    <w:p w14:paraId="5FEBF42F" w14:textId="69A842B2" w:rsidR="008A698E" w:rsidRDefault="008A698E" w:rsidP="008A698E">
      <w:r>
        <w:t>with Multiplex Graph for Molecular Structures</w:t>
      </w:r>
    </w:p>
    <w:p w14:paraId="0B31E679" w14:textId="77777777" w:rsidR="008A698E" w:rsidRDefault="008A698E" w:rsidP="008A698E">
      <w:r>
        <w:t>When predicting molecular properties, previous Graph Neural Networks (GNNs)</w:t>
      </w:r>
    </w:p>
    <w:p w14:paraId="146371F9" w14:textId="77777777" w:rsidR="008A698E" w:rsidRDefault="008A698E" w:rsidP="008A698E">
      <w:r>
        <w:t>improve their expressive power by incorporating auxiliary information in molecules</w:t>
      </w:r>
    </w:p>
    <w:p w14:paraId="461811E8" w14:textId="77777777" w:rsidR="008A698E" w:rsidRDefault="008A698E" w:rsidP="008A698E">
      <w:r>
        <w:t xml:space="preserve">while inevitably </w:t>
      </w:r>
      <w:proofErr w:type="gramStart"/>
      <w:r>
        <w:t>increase</w:t>
      </w:r>
      <w:proofErr w:type="gramEnd"/>
      <w:r>
        <w:t xml:space="preserve"> their computational complexity. Motivated by this we design </w:t>
      </w:r>
      <w:proofErr w:type="gramStart"/>
      <w:r>
        <w:t>a powerful</w:t>
      </w:r>
      <w:proofErr w:type="gramEnd"/>
      <w:r>
        <w:t xml:space="preserve"> and efficient GNN for molecules. Inspired by molecular mechanics,</w:t>
      </w:r>
    </w:p>
    <w:p w14:paraId="2473D0D1" w14:textId="77777777" w:rsidR="008A698E" w:rsidRDefault="008A698E" w:rsidP="008A698E">
      <w:proofErr w:type="gramStart"/>
      <w:r>
        <w:t>our</w:t>
      </w:r>
      <w:proofErr w:type="gramEnd"/>
      <w:r>
        <w:t xml:space="preserve"> approach first represents each molecule as a multiplex graph. Then a message passing module is proposed to balance the trade-off of expression power and</w:t>
      </w:r>
    </w:p>
    <w:p w14:paraId="0A1EAC1C" w14:textId="77777777" w:rsidR="008A698E" w:rsidRDefault="008A698E" w:rsidP="008A698E">
      <w:r>
        <w:t>computational complexity. The performance of the resulting Multiplex Molecular</w:t>
      </w:r>
    </w:p>
    <w:p w14:paraId="4845E0B3" w14:textId="55BD5AE7" w:rsidR="008A698E" w:rsidRDefault="008A698E" w:rsidP="008A698E">
      <w:r>
        <w:t>Graph Neural Network (</w:t>
      </w:r>
      <w:proofErr w:type="spellStart"/>
      <w:r>
        <w:t>MXMNet</w:t>
      </w:r>
      <w:proofErr w:type="spellEnd"/>
      <w:r>
        <w:t>) is successfully validated on the QM9 dataset.</w:t>
      </w:r>
    </w:p>
    <w:p w14:paraId="4CB68C0D" w14:textId="45FACE67" w:rsidR="008A698E" w:rsidRDefault="008A698E" w:rsidP="008A698E">
      <w:hyperlink r:id="rId6" w:history="1">
        <w:r w:rsidRPr="008A698E">
          <w:rPr>
            <w:rStyle w:val="ae"/>
          </w:rPr>
          <w:t>End-to-End Sequence-Structure-Function Meta-Learning Predicts Genome-Wide Chemical-Protein Interactions for Dark Proteins</w:t>
        </w:r>
      </w:hyperlink>
    </w:p>
    <w:p w14:paraId="3AC8562B" w14:textId="45FA8E92" w:rsidR="008A698E" w:rsidRDefault="008A698E" w:rsidP="008A698E">
      <w:r w:rsidRPr="008A698E">
        <w:t xml:space="preserve">Systematically discovering protein-ligand interactions across the entire human and pathogen genomes is critical in chemical genomics, protein function prediction, drug discovery, and many other areas. However, more than 90% of gene families remain “dark”—i.e., their small-molecule ligands are undiscovered due to experimental limitations or human/historical biases. Existing computational approaches typically fail when the dark protein differs from those with known ligands. To address this challenge, we have developed a deep learning framework, called </w:t>
      </w:r>
      <w:proofErr w:type="spellStart"/>
      <w:r w:rsidRPr="008A698E">
        <w:t>PortalCG</w:t>
      </w:r>
      <w:proofErr w:type="spellEnd"/>
      <w:r w:rsidRPr="008A698E">
        <w:t>, which consists of four novel components: (</w:t>
      </w:r>
      <w:proofErr w:type="spellStart"/>
      <w:r w:rsidRPr="008A698E">
        <w:t>i</w:t>
      </w:r>
      <w:proofErr w:type="spellEnd"/>
      <w:r w:rsidRPr="008A698E">
        <w:t xml:space="preserve">) a 3-dimensional ligand binding site enhanced sequence pre-training strategy to encode the evolutionary links between ligand-binding sites across gene families; (ii) an end-to-end pretraining-fine-tuning strategy to reduce the impact of inaccuracy of predicted structures on function predictions by recognizing the sequence-structure-function paradigm; (iii) a new out-of-cluster meta-learning algorithm that extracts and accumulates information learned from predicting ligands of distinct gene families (meta-data) and applies the meta-data to a dark gene family; and (iv) a stress model selection step, using different gene families in the test data from those in the training and development data sets to facilitate model deployment in a real-world scenario. In extensive and rigorous benchmark experiments, </w:t>
      </w:r>
      <w:proofErr w:type="spellStart"/>
      <w:r w:rsidRPr="008A698E">
        <w:t>PortalCG</w:t>
      </w:r>
      <w:proofErr w:type="spellEnd"/>
      <w:r w:rsidRPr="008A698E">
        <w:t xml:space="preserve"> considerably outperformed state-of-the-art techniques of machine learning and protein-ligand docking when applied to dark gene </w:t>
      </w:r>
      <w:proofErr w:type="gramStart"/>
      <w:r w:rsidRPr="008A698E">
        <w:t>families, and</w:t>
      </w:r>
      <w:proofErr w:type="gramEnd"/>
      <w:r w:rsidRPr="008A698E">
        <w:t xml:space="preserve"> demonstrated its generalization power for target identifications and compound screenings under out-of-distribution (OOD) scenarios. Furthermore, in an external validation for the multi-target compound screening, the performance of </w:t>
      </w:r>
      <w:proofErr w:type="spellStart"/>
      <w:r w:rsidRPr="008A698E">
        <w:t>PortalCG</w:t>
      </w:r>
      <w:proofErr w:type="spellEnd"/>
      <w:r w:rsidRPr="008A698E">
        <w:t xml:space="preserve"> surpassed the rational design from medicinal chemists. Our results also suggest that a differentiable sequence-structure-function deep learning framework, where protein structural information serves as an intermediate layer, could be superior to conventional methodology where predicted protein structures were used for the compound screening. We applied </w:t>
      </w:r>
      <w:proofErr w:type="spellStart"/>
      <w:r w:rsidRPr="008A698E">
        <w:t>PortalCG</w:t>
      </w:r>
      <w:proofErr w:type="spellEnd"/>
      <w:r w:rsidRPr="008A698E">
        <w:t xml:space="preserve"> to two case studies to exemplify its potential in drug discovery: designing selective </w:t>
      </w:r>
      <w:proofErr w:type="gramStart"/>
      <w:r w:rsidRPr="008A698E">
        <w:t>dual-antagonists</w:t>
      </w:r>
      <w:proofErr w:type="gramEnd"/>
      <w:r w:rsidRPr="008A698E">
        <w:t xml:space="preserve"> of dopamine receptors for the treatment of opioid use disorder (OUD</w:t>
      </w:r>
      <w:proofErr w:type="gramStart"/>
      <w:r w:rsidRPr="008A698E">
        <w:t>), and</w:t>
      </w:r>
      <w:proofErr w:type="gramEnd"/>
      <w:r w:rsidRPr="008A698E">
        <w:t xml:space="preserve"> illuminating the understudied human genome for target diseases that do not yet have effective and safe therapeutics. Our results suggested that </w:t>
      </w:r>
      <w:proofErr w:type="spellStart"/>
      <w:r w:rsidRPr="008A698E">
        <w:t>PortalCG</w:t>
      </w:r>
      <w:proofErr w:type="spellEnd"/>
      <w:r w:rsidRPr="008A698E">
        <w:t xml:space="preserve"> is a viable solution to the OOD problem in exploring understudied regions of protein functional space.</w:t>
      </w:r>
    </w:p>
    <w:p w14:paraId="2837439E" w14:textId="4B007E42" w:rsidR="008A698E" w:rsidRDefault="008A698E" w:rsidP="008A698E">
      <w:hyperlink r:id="rId7" w:history="1">
        <w:r w:rsidRPr="008A698E">
          <w:rPr>
            <w:rStyle w:val="ae"/>
          </w:rPr>
          <w:t>Improving Attention Mechanism in Graph Neural Networks via Cardinality Preservation</w:t>
        </w:r>
      </w:hyperlink>
    </w:p>
    <w:p w14:paraId="73B8F013" w14:textId="7F7FD0FA" w:rsidR="008A698E" w:rsidRDefault="008A698E" w:rsidP="008A698E">
      <w:r w:rsidRPr="008A698E">
        <w:lastRenderedPageBreak/>
        <w:t xml:space="preserve">Graph Neural Networks (GNNs) are powerful for the representation learning of graph-structured data. Most of the GNNs use a message-passing scheme, where the embedding of a node is iteratively updated by aggregating the information from its neighbors. To achieve a better expressive capability of node influences, attention mechanism has grown to be popular to assign trainable weights to the nodes in aggregation. Though the attention-based GNNs have achieved remarkable results in various tasks, a clear understanding of their discriminative capacities is missing. In this work, we present a theoretical analysis of the representational properties of the GNN that adopts the attention mechanism as an aggregator. Our analysis determines all cases when those attention-based GNNs can always fail to distinguish certain distinct structures. Those cases appear due to the ignorance of cardinality information in attention-based aggregation. To improve the performance of attention-based GNNs, we propose cardinality preserved attention (CPA) models that can be applied to any kind of attention mechanisms. Our experiments on node and graph classification confirm our theoretical analysis and show the competitive performance of our CPA models. The code is available online: </w:t>
      </w:r>
      <w:hyperlink r:id="rId8" w:history="1">
        <w:r w:rsidRPr="006B1377">
          <w:rPr>
            <w:rStyle w:val="ae"/>
          </w:rPr>
          <w:t>https://github.com/zetayue/CPA</w:t>
        </w:r>
      </w:hyperlink>
      <w:r w:rsidRPr="008A698E">
        <w:t>.</w:t>
      </w:r>
    </w:p>
    <w:p w14:paraId="2FD58228" w14:textId="674464F3" w:rsidR="008A698E" w:rsidRDefault="008A698E" w:rsidP="008A698E">
      <w:hyperlink r:id="rId9" w:history="1">
        <w:r w:rsidRPr="008A698E">
          <w:rPr>
            <w:rStyle w:val="ae"/>
          </w:rPr>
          <w:t>Heterogeneous Multi-Layered Network Model for Omics Data Integration and Analysis</w:t>
        </w:r>
      </w:hyperlink>
    </w:p>
    <w:p w14:paraId="013F1C0F" w14:textId="5C8C859E" w:rsidR="008A698E" w:rsidRPr="008A698E" w:rsidRDefault="008A698E" w:rsidP="008A698E">
      <w:pPr>
        <w:rPr>
          <w:rFonts w:hint="eastAsia"/>
        </w:rPr>
      </w:pPr>
      <w:r w:rsidRPr="008A698E">
        <w:t xml:space="preserve">Advances in next-generation sequencing and high-throughput techniques have enabled the generation of vast amounts of diverse omics data. These big data provide an unprecedented opportunity in biology, but impose great challenges in data integration, data mining, and knowledge discovery due to the complexity, heterogeneity, dynamics, uncertainty, and </w:t>
      </w:r>
      <w:proofErr w:type="gramStart"/>
      <w:r w:rsidRPr="008A698E">
        <w:t>high-dimensionality</w:t>
      </w:r>
      <w:proofErr w:type="gramEnd"/>
      <w:r w:rsidRPr="008A698E">
        <w:t xml:space="preserve"> inherited in the omics data. Network has been widely used to represent relations between entities in biological system, such as protein-protein interaction, gene regulation, and brain connectivity (i.e. network construction) as well as to infer novel relations given a reconstructed network (aka link prediction). Particularly, heterogeneous multi-layered network (HMLN) has proven successful in integrating diverse biological data for the representation of the hierarchy of biological system. The HMLN provides unparalleled opportunities but imposes new computational challenges on establishing causal genotype-phenotype associations and understanding environmental impact on organisms. In this review, we focus on the recent advances in developing novel computational methods for the inference of novel biological relations from the HMLN. We first discuss the properties of biological HMLN. Then we </w:t>
      </w:r>
      <w:proofErr w:type="gramStart"/>
      <w:r w:rsidRPr="008A698E">
        <w:t>survey</w:t>
      </w:r>
      <w:proofErr w:type="gramEnd"/>
      <w:r w:rsidRPr="008A698E">
        <w:t xml:space="preserve"> four categories of state-of-the-art methods (matrix factorization, random walk, knowledge graph, and deep learning). Thirdly, we demonstrate their applications to omics data integration and analysis. Finally, we outline strategies for future directions in the development of new HMLN models.</w:t>
      </w:r>
    </w:p>
    <w:sectPr w:rsidR="008A698E" w:rsidRPr="008A698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98E"/>
    <w:rsid w:val="00106FAA"/>
    <w:rsid w:val="00471F61"/>
    <w:rsid w:val="008A698E"/>
    <w:rsid w:val="00936902"/>
    <w:rsid w:val="009F74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7B68A"/>
  <w15:chartTrackingRefBased/>
  <w15:docId w15:val="{F6BA9D0C-14E8-4E5D-8F5B-77DA0F191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A69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A69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A698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A698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A698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A698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A698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A698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A698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698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A698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A698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A698E"/>
    <w:rPr>
      <w:rFonts w:cstheme="majorBidi"/>
      <w:color w:val="0F4761" w:themeColor="accent1" w:themeShade="BF"/>
      <w:sz w:val="28"/>
      <w:szCs w:val="28"/>
    </w:rPr>
  </w:style>
  <w:style w:type="character" w:customStyle="1" w:styleId="50">
    <w:name w:val="标题 5 字符"/>
    <w:basedOn w:val="a0"/>
    <w:link w:val="5"/>
    <w:uiPriority w:val="9"/>
    <w:semiHidden/>
    <w:rsid w:val="008A698E"/>
    <w:rPr>
      <w:rFonts w:cstheme="majorBidi"/>
      <w:color w:val="0F4761" w:themeColor="accent1" w:themeShade="BF"/>
      <w:sz w:val="24"/>
      <w:szCs w:val="24"/>
    </w:rPr>
  </w:style>
  <w:style w:type="character" w:customStyle="1" w:styleId="60">
    <w:name w:val="标题 6 字符"/>
    <w:basedOn w:val="a0"/>
    <w:link w:val="6"/>
    <w:uiPriority w:val="9"/>
    <w:semiHidden/>
    <w:rsid w:val="008A698E"/>
    <w:rPr>
      <w:rFonts w:cstheme="majorBidi"/>
      <w:b/>
      <w:bCs/>
      <w:color w:val="0F4761" w:themeColor="accent1" w:themeShade="BF"/>
    </w:rPr>
  </w:style>
  <w:style w:type="character" w:customStyle="1" w:styleId="70">
    <w:name w:val="标题 7 字符"/>
    <w:basedOn w:val="a0"/>
    <w:link w:val="7"/>
    <w:uiPriority w:val="9"/>
    <w:semiHidden/>
    <w:rsid w:val="008A698E"/>
    <w:rPr>
      <w:rFonts w:cstheme="majorBidi"/>
      <w:b/>
      <w:bCs/>
      <w:color w:val="595959" w:themeColor="text1" w:themeTint="A6"/>
    </w:rPr>
  </w:style>
  <w:style w:type="character" w:customStyle="1" w:styleId="80">
    <w:name w:val="标题 8 字符"/>
    <w:basedOn w:val="a0"/>
    <w:link w:val="8"/>
    <w:uiPriority w:val="9"/>
    <w:semiHidden/>
    <w:rsid w:val="008A698E"/>
    <w:rPr>
      <w:rFonts w:cstheme="majorBidi"/>
      <w:color w:val="595959" w:themeColor="text1" w:themeTint="A6"/>
    </w:rPr>
  </w:style>
  <w:style w:type="character" w:customStyle="1" w:styleId="90">
    <w:name w:val="标题 9 字符"/>
    <w:basedOn w:val="a0"/>
    <w:link w:val="9"/>
    <w:uiPriority w:val="9"/>
    <w:semiHidden/>
    <w:rsid w:val="008A698E"/>
    <w:rPr>
      <w:rFonts w:eastAsiaTheme="majorEastAsia" w:cstheme="majorBidi"/>
      <w:color w:val="595959" w:themeColor="text1" w:themeTint="A6"/>
    </w:rPr>
  </w:style>
  <w:style w:type="paragraph" w:styleId="a3">
    <w:name w:val="Title"/>
    <w:basedOn w:val="a"/>
    <w:next w:val="a"/>
    <w:link w:val="a4"/>
    <w:uiPriority w:val="10"/>
    <w:qFormat/>
    <w:rsid w:val="008A698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69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698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A69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698E"/>
    <w:pPr>
      <w:spacing w:before="160" w:after="160"/>
      <w:jc w:val="center"/>
    </w:pPr>
    <w:rPr>
      <w:i/>
      <w:iCs/>
      <w:color w:val="404040" w:themeColor="text1" w:themeTint="BF"/>
    </w:rPr>
  </w:style>
  <w:style w:type="character" w:customStyle="1" w:styleId="a8">
    <w:name w:val="引用 字符"/>
    <w:basedOn w:val="a0"/>
    <w:link w:val="a7"/>
    <w:uiPriority w:val="29"/>
    <w:rsid w:val="008A698E"/>
    <w:rPr>
      <w:i/>
      <w:iCs/>
      <w:color w:val="404040" w:themeColor="text1" w:themeTint="BF"/>
    </w:rPr>
  </w:style>
  <w:style w:type="paragraph" w:styleId="a9">
    <w:name w:val="List Paragraph"/>
    <w:basedOn w:val="a"/>
    <w:uiPriority w:val="34"/>
    <w:qFormat/>
    <w:rsid w:val="008A698E"/>
    <w:pPr>
      <w:ind w:left="720"/>
      <w:contextualSpacing/>
    </w:pPr>
  </w:style>
  <w:style w:type="character" w:styleId="aa">
    <w:name w:val="Intense Emphasis"/>
    <w:basedOn w:val="a0"/>
    <w:uiPriority w:val="21"/>
    <w:qFormat/>
    <w:rsid w:val="008A698E"/>
    <w:rPr>
      <w:i/>
      <w:iCs/>
      <w:color w:val="0F4761" w:themeColor="accent1" w:themeShade="BF"/>
    </w:rPr>
  </w:style>
  <w:style w:type="paragraph" w:styleId="ab">
    <w:name w:val="Intense Quote"/>
    <w:basedOn w:val="a"/>
    <w:next w:val="a"/>
    <w:link w:val="ac"/>
    <w:uiPriority w:val="30"/>
    <w:qFormat/>
    <w:rsid w:val="008A6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A698E"/>
    <w:rPr>
      <w:i/>
      <w:iCs/>
      <w:color w:val="0F4761" w:themeColor="accent1" w:themeShade="BF"/>
    </w:rPr>
  </w:style>
  <w:style w:type="character" w:styleId="ad">
    <w:name w:val="Intense Reference"/>
    <w:basedOn w:val="a0"/>
    <w:uiPriority w:val="32"/>
    <w:qFormat/>
    <w:rsid w:val="008A698E"/>
    <w:rPr>
      <w:b/>
      <w:bCs/>
      <w:smallCaps/>
      <w:color w:val="0F4761" w:themeColor="accent1" w:themeShade="BF"/>
      <w:spacing w:val="5"/>
    </w:rPr>
  </w:style>
  <w:style w:type="character" w:styleId="ae">
    <w:name w:val="Hyperlink"/>
    <w:basedOn w:val="a0"/>
    <w:uiPriority w:val="99"/>
    <w:unhideWhenUsed/>
    <w:rsid w:val="008A698E"/>
    <w:rPr>
      <w:color w:val="467886" w:themeColor="hyperlink"/>
      <w:u w:val="single"/>
    </w:rPr>
  </w:style>
  <w:style w:type="character" w:styleId="af">
    <w:name w:val="Unresolved Mention"/>
    <w:basedOn w:val="a0"/>
    <w:uiPriority w:val="99"/>
    <w:semiHidden/>
    <w:unhideWhenUsed/>
    <w:rsid w:val="008A69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zetayue/CPA" TargetMode="External"/><Relationship Id="rId3" Type="http://schemas.openxmlformats.org/officeDocument/2006/relationships/webSettings" Target="webSettings.xml"/><Relationship Id="rId7" Type="http://schemas.openxmlformats.org/officeDocument/2006/relationships/hyperlink" Target="https://www.ijcai.org/proceedings/2020/19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journals.plos.org/ploscompbiol/article?id=10.1371/journal.pcbi.1010851" TargetMode="External"/><Relationship Id="rId11" Type="http://schemas.openxmlformats.org/officeDocument/2006/relationships/theme" Target="theme/theme1.xml"/><Relationship Id="rId5" Type="http://schemas.openxmlformats.org/officeDocument/2006/relationships/hyperlink" Target="https://www.nature.com/articles/s41598-023-46382-8" TargetMode="External"/><Relationship Id="rId10" Type="http://schemas.openxmlformats.org/officeDocument/2006/relationships/fontTable" Target="fontTable.xml"/><Relationship Id="rId4" Type="http://schemas.openxmlformats.org/officeDocument/2006/relationships/hyperlink" Target="https://openreview.net/forum?id=WBaXgzYvaj" TargetMode="External"/><Relationship Id="rId9" Type="http://schemas.openxmlformats.org/officeDocument/2006/relationships/hyperlink" Target="https://www.frontiersin.org/journals/genetics/articles/10.3389/fgene.2019.01381/ful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2117</Words>
  <Characters>12071</Characters>
  <Application>Microsoft Office Word</Application>
  <DocSecurity>0</DocSecurity>
  <Lines>100</Lines>
  <Paragraphs>28</Paragraphs>
  <ScaleCrop>false</ScaleCrop>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Shuo Zhang</dc:creator>
  <cp:keywords/>
  <dc:description/>
  <cp:lastModifiedBy>Shuo Zhang</cp:lastModifiedBy>
  <cp:revision>1</cp:revision>
  <dcterms:created xsi:type="dcterms:W3CDTF">2026-05-13T20:59:00Z</dcterms:created>
  <dcterms:modified xsi:type="dcterms:W3CDTF">2026-05-13T21:20:00Z</dcterms:modified>
</cp:coreProperties>
</file>