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237" w:lineRule="auto" w:before="87"/>
        <w:ind w:left="5" w:right="362"/>
        <w:jc w:val="center"/>
      </w:pPr>
      <w:r>
        <w:rPr/>
        <mc:AlternateContent>
          <mc:Choice Requires="wps">
            <w:drawing>
              <wp:anchor distT="0" distB="0" distL="0" distR="0" allowOverlap="1" layoutInCell="1" locked="0" behindDoc="0" simplePos="0" relativeHeight="15728640">
                <wp:simplePos x="0" y="0"/>
                <wp:positionH relativeFrom="page">
                  <wp:posOffset>-1637</wp:posOffset>
                </wp:positionH>
                <wp:positionV relativeFrom="page">
                  <wp:posOffset>2272607</wp:posOffset>
                </wp:positionV>
                <wp:extent cx="138430" cy="551370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28640" type="#_x0000_t202" id="docshape5"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Thermal</w:t>
      </w:r>
      <w:r>
        <w:rPr>
          <w:spacing w:val="-7"/>
        </w:rPr>
        <w:t> </w:t>
      </w:r>
      <w:r>
        <w:rPr/>
        <w:t>and</w:t>
      </w:r>
      <w:r>
        <w:rPr>
          <w:spacing w:val="-2"/>
        </w:rPr>
        <w:t> </w:t>
      </w:r>
      <w:r>
        <w:rPr/>
        <w:t>Mechanical</w:t>
      </w:r>
      <w:r>
        <w:rPr>
          <w:spacing w:val="-7"/>
        </w:rPr>
        <w:t> </w:t>
      </w:r>
      <w:r>
        <w:rPr/>
        <w:t>Properties</w:t>
      </w:r>
      <w:r>
        <w:rPr>
          <w:spacing w:val="-5"/>
        </w:rPr>
        <w:t> </w:t>
      </w:r>
      <w:r>
        <w:rPr/>
        <w:t>of</w:t>
      </w:r>
      <w:r>
        <w:rPr>
          <w:spacing w:val="-5"/>
        </w:rPr>
        <w:t> </w:t>
      </w:r>
      <w:r>
        <w:rPr/>
        <w:t>Cementitious</w:t>
      </w:r>
      <w:r>
        <w:rPr>
          <w:spacing w:val="-4"/>
        </w:rPr>
        <w:t> </w:t>
      </w:r>
      <w:r>
        <w:rPr/>
        <w:t>Composites</w:t>
      </w:r>
      <w:r>
        <w:rPr>
          <w:spacing w:val="-4"/>
        </w:rPr>
        <w:t> </w:t>
      </w:r>
      <w:r>
        <w:rPr/>
        <w:t>for</w:t>
      </w:r>
      <w:r>
        <w:rPr>
          <w:spacing w:val="-6"/>
        </w:rPr>
        <w:t> </w:t>
      </w:r>
      <w:r>
        <w:rPr/>
        <w:t>Additive</w:t>
      </w:r>
      <w:r>
        <w:rPr>
          <w:spacing w:val="-3"/>
        </w:rPr>
        <w:t> </w:t>
      </w:r>
      <w:r>
        <w:rPr/>
        <w:t>Construction of Energy-Saving Habitats</w:t>
      </w:r>
    </w:p>
    <w:p>
      <w:pPr>
        <w:pStyle w:val="BodyText"/>
        <w:spacing w:before="200"/>
        <w:ind w:right="357"/>
        <w:jc w:val="center"/>
      </w:pPr>
      <w:r>
        <w:rPr/>
        <w:t>Hongyu</w:t>
      </w:r>
      <w:r>
        <w:rPr>
          <w:spacing w:val="-1"/>
        </w:rPr>
        <w:t> </w:t>
      </w:r>
      <w:r>
        <w:rPr/>
        <w:t>Zhou</w:t>
      </w:r>
      <w:r>
        <w:rPr>
          <w:vertAlign w:val="superscript"/>
        </w:rPr>
        <w:t>1</w:t>
      </w:r>
      <w:r>
        <w:rPr>
          <w:vertAlign w:val="baseline"/>
        </w:rPr>
        <w:t>;</w:t>
      </w:r>
      <w:r>
        <w:rPr>
          <w:spacing w:val="-5"/>
          <w:vertAlign w:val="baseline"/>
        </w:rPr>
        <w:t> </w:t>
      </w:r>
      <w:r>
        <w:rPr>
          <w:vertAlign w:val="baseline"/>
        </w:rPr>
        <w:t>Adam</w:t>
      </w:r>
      <w:r>
        <w:rPr>
          <w:spacing w:val="-5"/>
          <w:vertAlign w:val="baseline"/>
        </w:rPr>
        <w:t> </w:t>
      </w:r>
      <w:r>
        <w:rPr>
          <w:vertAlign w:val="baseline"/>
        </w:rPr>
        <w:t>L.</w:t>
      </w:r>
      <w:r>
        <w:rPr>
          <w:spacing w:val="1"/>
          <w:vertAlign w:val="baseline"/>
        </w:rPr>
        <w:t> </w:t>
      </w:r>
      <w:r>
        <w:rPr>
          <w:vertAlign w:val="baseline"/>
        </w:rPr>
        <w:t>Brooks</w:t>
      </w:r>
      <w:r>
        <w:rPr>
          <w:vertAlign w:val="superscript"/>
        </w:rPr>
        <w:t>2</w:t>
      </w:r>
      <w:r>
        <w:rPr>
          <w:vertAlign w:val="baseline"/>
        </w:rPr>
        <w:t>;</w:t>
      </w:r>
      <w:r>
        <w:rPr>
          <w:spacing w:val="-5"/>
          <w:vertAlign w:val="baseline"/>
        </w:rPr>
        <w:t> </w:t>
      </w:r>
      <w:r>
        <w:rPr>
          <w:vertAlign w:val="baseline"/>
        </w:rPr>
        <w:t>Dominic</w:t>
      </w:r>
      <w:r>
        <w:rPr>
          <w:spacing w:val="-1"/>
          <w:vertAlign w:val="baseline"/>
        </w:rPr>
        <w:t> </w:t>
      </w:r>
      <w:r>
        <w:rPr>
          <w:vertAlign w:val="baseline"/>
        </w:rPr>
        <w:t>Hanna</w:t>
      </w:r>
      <w:r>
        <w:rPr>
          <w:vertAlign w:val="superscript"/>
        </w:rPr>
        <w:t>3</w:t>
      </w:r>
      <w:r>
        <w:rPr>
          <w:vertAlign w:val="baseline"/>
        </w:rPr>
        <w:t>;</w:t>
      </w:r>
      <w:r>
        <w:rPr>
          <w:spacing w:val="-5"/>
          <w:vertAlign w:val="baseline"/>
        </w:rPr>
        <w:t> </w:t>
      </w:r>
      <w:r>
        <w:rPr>
          <w:vertAlign w:val="baseline"/>
        </w:rPr>
        <w:t>and</w:t>
      </w:r>
      <w:r>
        <w:rPr>
          <w:spacing w:val="-1"/>
          <w:vertAlign w:val="baseline"/>
        </w:rPr>
        <w:t> </w:t>
      </w:r>
      <w:r>
        <w:rPr>
          <w:vertAlign w:val="baseline"/>
        </w:rPr>
        <w:t>Babak </w:t>
      </w:r>
      <w:r>
        <w:rPr>
          <w:spacing w:val="-2"/>
          <w:vertAlign w:val="baseline"/>
        </w:rPr>
        <w:t>Salarieh</w:t>
      </w:r>
      <w:r>
        <w:rPr>
          <w:spacing w:val="-2"/>
          <w:vertAlign w:val="superscript"/>
        </w:rPr>
        <w:t>4</w:t>
      </w:r>
    </w:p>
    <w:p>
      <w:pPr>
        <w:pStyle w:val="BodyText"/>
        <w:spacing w:line="237" w:lineRule="auto" w:before="202"/>
      </w:pPr>
      <w:r>
        <w:rPr>
          <w:vertAlign w:val="superscript"/>
        </w:rPr>
        <w:t>1</w:t>
      </w:r>
      <w:r>
        <w:rPr>
          <w:vertAlign w:val="baseline"/>
        </w:rPr>
        <w:t>Dept.</w:t>
      </w:r>
      <w:r>
        <w:rPr>
          <w:spacing w:val="-4"/>
          <w:vertAlign w:val="baseline"/>
        </w:rPr>
        <w:t> </w:t>
      </w:r>
      <w:r>
        <w:rPr>
          <w:vertAlign w:val="baseline"/>
        </w:rPr>
        <w:t>of</w:t>
      </w:r>
      <w:r>
        <w:rPr>
          <w:spacing w:val="-10"/>
          <w:vertAlign w:val="baseline"/>
        </w:rPr>
        <w:t> </w:t>
      </w:r>
      <w:r>
        <w:rPr>
          <w:vertAlign w:val="baseline"/>
        </w:rPr>
        <w:t>Civil</w:t>
      </w:r>
      <w:r>
        <w:rPr>
          <w:spacing w:val="-6"/>
          <w:vertAlign w:val="baseline"/>
        </w:rPr>
        <w:t> </w:t>
      </w:r>
      <w:r>
        <w:rPr>
          <w:vertAlign w:val="baseline"/>
        </w:rPr>
        <w:t>and</w:t>
      </w:r>
      <w:r>
        <w:rPr>
          <w:spacing w:val="-3"/>
          <w:vertAlign w:val="baseline"/>
        </w:rPr>
        <w:t> </w:t>
      </w:r>
      <w:r>
        <w:rPr>
          <w:vertAlign w:val="baseline"/>
        </w:rPr>
        <w:t>Environmental</w:t>
      </w:r>
      <w:r>
        <w:rPr>
          <w:spacing w:val="-11"/>
          <w:vertAlign w:val="baseline"/>
        </w:rPr>
        <w:t> </w:t>
      </w:r>
      <w:r>
        <w:rPr>
          <w:vertAlign w:val="baseline"/>
        </w:rPr>
        <w:t>Engineering, Univ.</w:t>
      </w:r>
      <w:r>
        <w:rPr>
          <w:spacing w:val="-1"/>
          <w:vertAlign w:val="baseline"/>
        </w:rPr>
        <w:t> </w:t>
      </w:r>
      <w:r>
        <w:rPr>
          <w:vertAlign w:val="baseline"/>
        </w:rPr>
        <w:t>of</w:t>
      </w:r>
      <w:r>
        <w:rPr>
          <w:spacing w:val="-10"/>
          <w:vertAlign w:val="baseline"/>
        </w:rPr>
        <w:t> </w:t>
      </w:r>
      <w:r>
        <w:rPr>
          <w:vertAlign w:val="baseline"/>
        </w:rPr>
        <w:t>Alabama in</w:t>
      </w:r>
      <w:r>
        <w:rPr>
          <w:spacing w:val="-7"/>
          <w:vertAlign w:val="baseline"/>
        </w:rPr>
        <w:t> </w:t>
      </w:r>
      <w:r>
        <w:rPr>
          <w:vertAlign w:val="baseline"/>
        </w:rPr>
        <w:t>Huntsville,</w:t>
      </w:r>
      <w:r>
        <w:rPr>
          <w:spacing w:val="-1"/>
          <w:vertAlign w:val="baseline"/>
        </w:rPr>
        <w:t> </w:t>
      </w:r>
      <w:r>
        <w:rPr>
          <w:vertAlign w:val="baseline"/>
        </w:rPr>
        <w:t>Huntsville,</w:t>
      </w:r>
      <w:r>
        <w:rPr>
          <w:spacing w:val="-1"/>
          <w:vertAlign w:val="baseline"/>
        </w:rPr>
        <w:t> </w:t>
      </w:r>
      <w:r>
        <w:rPr>
          <w:vertAlign w:val="baseline"/>
        </w:rPr>
        <w:t>AL 35758, USA (corresponding author). E-mail: </w:t>
      </w:r>
      <w:hyperlink r:id="rId7">
        <w:r>
          <w:rPr>
            <w:vertAlign w:val="baseline"/>
          </w:rPr>
          <w:t>hz0009@uah.edu</w:t>
        </w:r>
      </w:hyperlink>
    </w:p>
    <w:p>
      <w:pPr>
        <w:pStyle w:val="BodyText"/>
        <w:spacing w:line="237" w:lineRule="auto" w:before="5"/>
      </w:pPr>
      <w:r>
        <w:rPr>
          <w:vertAlign w:val="superscript"/>
        </w:rPr>
        <w:t>2</w:t>
      </w:r>
      <w:r>
        <w:rPr>
          <w:vertAlign w:val="baseline"/>
        </w:rPr>
        <w:t>Dept.</w:t>
      </w:r>
      <w:r>
        <w:rPr>
          <w:spacing w:val="-4"/>
          <w:vertAlign w:val="baseline"/>
        </w:rPr>
        <w:t> </w:t>
      </w:r>
      <w:r>
        <w:rPr>
          <w:vertAlign w:val="baseline"/>
        </w:rPr>
        <w:t>of</w:t>
      </w:r>
      <w:r>
        <w:rPr>
          <w:spacing w:val="-10"/>
          <w:vertAlign w:val="baseline"/>
        </w:rPr>
        <w:t> </w:t>
      </w:r>
      <w:r>
        <w:rPr>
          <w:vertAlign w:val="baseline"/>
        </w:rPr>
        <w:t>Civil</w:t>
      </w:r>
      <w:r>
        <w:rPr>
          <w:spacing w:val="-6"/>
          <w:vertAlign w:val="baseline"/>
        </w:rPr>
        <w:t> </w:t>
      </w:r>
      <w:r>
        <w:rPr>
          <w:vertAlign w:val="baseline"/>
        </w:rPr>
        <w:t>and</w:t>
      </w:r>
      <w:r>
        <w:rPr>
          <w:spacing w:val="-3"/>
          <w:vertAlign w:val="baseline"/>
        </w:rPr>
        <w:t> </w:t>
      </w:r>
      <w:r>
        <w:rPr>
          <w:vertAlign w:val="baseline"/>
        </w:rPr>
        <w:t>Environmental</w:t>
      </w:r>
      <w:r>
        <w:rPr>
          <w:spacing w:val="-11"/>
          <w:vertAlign w:val="baseline"/>
        </w:rPr>
        <w:t> </w:t>
      </w:r>
      <w:r>
        <w:rPr>
          <w:vertAlign w:val="baseline"/>
        </w:rPr>
        <w:t>Engineering, Univ.</w:t>
      </w:r>
      <w:r>
        <w:rPr>
          <w:spacing w:val="-1"/>
          <w:vertAlign w:val="baseline"/>
        </w:rPr>
        <w:t> </w:t>
      </w:r>
      <w:r>
        <w:rPr>
          <w:vertAlign w:val="baseline"/>
        </w:rPr>
        <w:t>of</w:t>
      </w:r>
      <w:r>
        <w:rPr>
          <w:spacing w:val="-10"/>
          <w:vertAlign w:val="baseline"/>
        </w:rPr>
        <w:t> </w:t>
      </w:r>
      <w:r>
        <w:rPr>
          <w:vertAlign w:val="baseline"/>
        </w:rPr>
        <w:t>Alabama in</w:t>
      </w:r>
      <w:r>
        <w:rPr>
          <w:spacing w:val="-7"/>
          <w:vertAlign w:val="baseline"/>
        </w:rPr>
        <w:t> </w:t>
      </w:r>
      <w:r>
        <w:rPr>
          <w:vertAlign w:val="baseline"/>
        </w:rPr>
        <w:t>Huntsville,</w:t>
      </w:r>
      <w:r>
        <w:rPr>
          <w:spacing w:val="-1"/>
          <w:vertAlign w:val="baseline"/>
        </w:rPr>
        <w:t> </w:t>
      </w:r>
      <w:r>
        <w:rPr>
          <w:vertAlign w:val="baseline"/>
        </w:rPr>
        <w:t>Huntsville,</w:t>
      </w:r>
      <w:r>
        <w:rPr>
          <w:spacing w:val="-1"/>
          <w:vertAlign w:val="baseline"/>
        </w:rPr>
        <w:t> </w:t>
      </w:r>
      <w:r>
        <w:rPr>
          <w:vertAlign w:val="baseline"/>
        </w:rPr>
        <w:t>AL 35758, USA</w:t>
      </w:r>
    </w:p>
    <w:p>
      <w:pPr>
        <w:pStyle w:val="BodyText"/>
        <w:spacing w:before="4"/>
      </w:pPr>
      <w:r>
        <w:rPr>
          <w:vertAlign w:val="superscript"/>
        </w:rPr>
        <w:t>3</w:t>
      </w:r>
      <w:r>
        <w:rPr>
          <w:vertAlign w:val="baseline"/>
        </w:rPr>
        <w:t>Dept.</w:t>
      </w:r>
      <w:r>
        <w:rPr>
          <w:spacing w:val="-4"/>
          <w:vertAlign w:val="baseline"/>
        </w:rPr>
        <w:t> </w:t>
      </w:r>
      <w:r>
        <w:rPr>
          <w:vertAlign w:val="baseline"/>
        </w:rPr>
        <w:t>of</w:t>
      </w:r>
      <w:r>
        <w:rPr>
          <w:spacing w:val="-10"/>
          <w:vertAlign w:val="baseline"/>
        </w:rPr>
        <w:t> </w:t>
      </w:r>
      <w:r>
        <w:rPr>
          <w:vertAlign w:val="baseline"/>
        </w:rPr>
        <w:t>Civil</w:t>
      </w:r>
      <w:r>
        <w:rPr>
          <w:spacing w:val="-6"/>
          <w:vertAlign w:val="baseline"/>
        </w:rPr>
        <w:t> </w:t>
      </w:r>
      <w:r>
        <w:rPr>
          <w:vertAlign w:val="baseline"/>
        </w:rPr>
        <w:t>and</w:t>
      </w:r>
      <w:r>
        <w:rPr>
          <w:spacing w:val="-3"/>
          <w:vertAlign w:val="baseline"/>
        </w:rPr>
        <w:t> </w:t>
      </w:r>
      <w:r>
        <w:rPr>
          <w:vertAlign w:val="baseline"/>
        </w:rPr>
        <w:t>Environmental</w:t>
      </w:r>
      <w:r>
        <w:rPr>
          <w:spacing w:val="-11"/>
          <w:vertAlign w:val="baseline"/>
        </w:rPr>
        <w:t> </w:t>
      </w:r>
      <w:r>
        <w:rPr>
          <w:vertAlign w:val="baseline"/>
        </w:rPr>
        <w:t>Engineering, Univ.</w:t>
      </w:r>
      <w:r>
        <w:rPr>
          <w:spacing w:val="-1"/>
          <w:vertAlign w:val="baseline"/>
        </w:rPr>
        <w:t> </w:t>
      </w:r>
      <w:r>
        <w:rPr>
          <w:vertAlign w:val="baseline"/>
        </w:rPr>
        <w:t>of</w:t>
      </w:r>
      <w:r>
        <w:rPr>
          <w:spacing w:val="-10"/>
          <w:vertAlign w:val="baseline"/>
        </w:rPr>
        <w:t> </w:t>
      </w:r>
      <w:r>
        <w:rPr>
          <w:vertAlign w:val="baseline"/>
        </w:rPr>
        <w:t>Alabama in</w:t>
      </w:r>
      <w:r>
        <w:rPr>
          <w:spacing w:val="-7"/>
          <w:vertAlign w:val="baseline"/>
        </w:rPr>
        <w:t> </w:t>
      </w:r>
      <w:r>
        <w:rPr>
          <w:vertAlign w:val="baseline"/>
        </w:rPr>
        <w:t>Huntsville,</w:t>
      </w:r>
      <w:r>
        <w:rPr>
          <w:spacing w:val="-1"/>
          <w:vertAlign w:val="baseline"/>
        </w:rPr>
        <w:t> </w:t>
      </w:r>
      <w:r>
        <w:rPr>
          <w:vertAlign w:val="baseline"/>
        </w:rPr>
        <w:t>Huntsville,</w:t>
      </w:r>
      <w:r>
        <w:rPr>
          <w:spacing w:val="-1"/>
          <w:vertAlign w:val="baseline"/>
        </w:rPr>
        <w:t> </w:t>
      </w:r>
      <w:r>
        <w:rPr>
          <w:vertAlign w:val="baseline"/>
        </w:rPr>
        <w:t>AL 35758, USA</w:t>
      </w:r>
    </w:p>
    <w:p>
      <w:pPr>
        <w:pStyle w:val="BodyText"/>
        <w:spacing w:line="237" w:lineRule="auto" w:before="2"/>
      </w:pPr>
      <w:r>
        <w:rPr>
          <w:vertAlign w:val="superscript"/>
        </w:rPr>
        <w:t>4</w:t>
      </w:r>
      <w:r>
        <w:rPr>
          <w:vertAlign w:val="baseline"/>
        </w:rPr>
        <w:t>Dept.</w:t>
      </w:r>
      <w:r>
        <w:rPr>
          <w:spacing w:val="-4"/>
          <w:vertAlign w:val="baseline"/>
        </w:rPr>
        <w:t> </w:t>
      </w:r>
      <w:r>
        <w:rPr>
          <w:vertAlign w:val="baseline"/>
        </w:rPr>
        <w:t>of</w:t>
      </w:r>
      <w:r>
        <w:rPr>
          <w:spacing w:val="-10"/>
          <w:vertAlign w:val="baseline"/>
        </w:rPr>
        <w:t> </w:t>
      </w:r>
      <w:r>
        <w:rPr>
          <w:vertAlign w:val="baseline"/>
        </w:rPr>
        <w:t>Civil</w:t>
      </w:r>
      <w:r>
        <w:rPr>
          <w:spacing w:val="-6"/>
          <w:vertAlign w:val="baseline"/>
        </w:rPr>
        <w:t> </w:t>
      </w:r>
      <w:r>
        <w:rPr>
          <w:vertAlign w:val="baseline"/>
        </w:rPr>
        <w:t>and</w:t>
      </w:r>
      <w:r>
        <w:rPr>
          <w:spacing w:val="-3"/>
          <w:vertAlign w:val="baseline"/>
        </w:rPr>
        <w:t> </w:t>
      </w:r>
      <w:r>
        <w:rPr>
          <w:vertAlign w:val="baseline"/>
        </w:rPr>
        <w:t>Environmental</w:t>
      </w:r>
      <w:r>
        <w:rPr>
          <w:spacing w:val="-11"/>
          <w:vertAlign w:val="baseline"/>
        </w:rPr>
        <w:t> </w:t>
      </w:r>
      <w:r>
        <w:rPr>
          <w:vertAlign w:val="baseline"/>
        </w:rPr>
        <w:t>Engineering, Univ.</w:t>
      </w:r>
      <w:r>
        <w:rPr>
          <w:spacing w:val="-1"/>
          <w:vertAlign w:val="baseline"/>
        </w:rPr>
        <w:t> </w:t>
      </w:r>
      <w:r>
        <w:rPr>
          <w:vertAlign w:val="baseline"/>
        </w:rPr>
        <w:t>of</w:t>
      </w:r>
      <w:r>
        <w:rPr>
          <w:spacing w:val="-10"/>
          <w:vertAlign w:val="baseline"/>
        </w:rPr>
        <w:t> </w:t>
      </w:r>
      <w:r>
        <w:rPr>
          <w:vertAlign w:val="baseline"/>
        </w:rPr>
        <w:t>Alabama in</w:t>
      </w:r>
      <w:r>
        <w:rPr>
          <w:spacing w:val="-7"/>
          <w:vertAlign w:val="baseline"/>
        </w:rPr>
        <w:t> </w:t>
      </w:r>
      <w:r>
        <w:rPr>
          <w:vertAlign w:val="baseline"/>
        </w:rPr>
        <w:t>Huntsville,</w:t>
      </w:r>
      <w:r>
        <w:rPr>
          <w:spacing w:val="-1"/>
          <w:vertAlign w:val="baseline"/>
        </w:rPr>
        <w:t> </w:t>
      </w:r>
      <w:r>
        <w:rPr>
          <w:vertAlign w:val="baseline"/>
        </w:rPr>
        <w:t>Huntsville,</w:t>
      </w:r>
      <w:r>
        <w:rPr>
          <w:spacing w:val="-1"/>
          <w:vertAlign w:val="baseline"/>
        </w:rPr>
        <w:t> </w:t>
      </w:r>
      <w:r>
        <w:rPr>
          <w:vertAlign w:val="baseline"/>
        </w:rPr>
        <w:t>AL 35758, USA</w:t>
      </w:r>
    </w:p>
    <w:p>
      <w:pPr>
        <w:pStyle w:val="Heading1"/>
        <w:spacing w:before="210"/>
      </w:pPr>
      <w:r>
        <w:rPr>
          <w:spacing w:val="-2"/>
        </w:rPr>
        <w:t>ABSTRACT</w:t>
      </w:r>
    </w:p>
    <w:p>
      <w:pPr>
        <w:pStyle w:val="BodyText"/>
        <w:spacing w:before="194"/>
        <w:ind w:right="391" w:firstLine="360"/>
      </w:pPr>
      <w:r>
        <w:rPr/>
        <w:t>Lightweight cementitious composites (LWCC) are cement based material combined with lightweight fillers. Because of its advantages in reducing both structural weight and thermal conductivity, it has the potential to be used in the construction of terrestrial and extraterrestrial habits.</w:t>
      </w:r>
      <w:r>
        <w:rPr>
          <w:spacing w:val="-3"/>
        </w:rPr>
        <w:t> </w:t>
      </w:r>
      <w:r>
        <w:rPr/>
        <w:t>Furthermore,</w:t>
      </w:r>
      <w:r>
        <w:rPr>
          <w:spacing w:val="-3"/>
        </w:rPr>
        <w:t> </w:t>
      </w:r>
      <w:r>
        <w:rPr/>
        <w:t>since</w:t>
      </w:r>
      <w:r>
        <w:rPr>
          <w:spacing w:val="-1"/>
        </w:rPr>
        <w:t> </w:t>
      </w:r>
      <w:r>
        <w:rPr/>
        <w:t>it has</w:t>
      </w:r>
      <w:r>
        <w:rPr>
          <w:spacing w:val="-6"/>
        </w:rPr>
        <w:t> </w:t>
      </w:r>
      <w:r>
        <w:rPr/>
        <w:t>relatively</w:t>
      </w:r>
      <w:r>
        <w:rPr>
          <w:spacing w:val="-9"/>
        </w:rPr>
        <w:t> </w:t>
      </w:r>
      <w:r>
        <w:rPr/>
        <w:t>small</w:t>
      </w:r>
      <w:r>
        <w:rPr>
          <w:spacing w:val="-9"/>
        </w:rPr>
        <w:t> </w:t>
      </w:r>
      <w:r>
        <w:rPr/>
        <w:t>and</w:t>
      </w:r>
      <w:r>
        <w:rPr>
          <w:spacing w:val="-4"/>
        </w:rPr>
        <w:t> </w:t>
      </w:r>
      <w:r>
        <w:rPr/>
        <w:t>spherical</w:t>
      </w:r>
      <w:r>
        <w:rPr>
          <w:spacing w:val="-9"/>
        </w:rPr>
        <w:t> </w:t>
      </w:r>
      <w:r>
        <w:rPr/>
        <w:t>shaped</w:t>
      </w:r>
      <w:r>
        <w:rPr>
          <w:spacing w:val="-4"/>
        </w:rPr>
        <w:t> </w:t>
      </w:r>
      <w:r>
        <w:rPr/>
        <w:t>aggregates,</w:t>
      </w:r>
      <w:r>
        <w:rPr>
          <w:spacing w:val="-3"/>
        </w:rPr>
        <w:t> </w:t>
      </w:r>
      <w:r>
        <w:rPr/>
        <w:t>LWCC</w:t>
      </w:r>
      <w:r>
        <w:rPr>
          <w:spacing w:val="-2"/>
        </w:rPr>
        <w:t> </w:t>
      </w:r>
      <w:r>
        <w:rPr/>
        <w:t>is</w:t>
      </w:r>
      <w:r>
        <w:rPr>
          <w:spacing w:val="-6"/>
        </w:rPr>
        <w:t> </w:t>
      </w:r>
      <w:r>
        <w:rPr/>
        <w:t>also suitable for extrusion based 3-D printing. In this research, a comprehensive and thorough study was carried out to investigate the effects of different lightweight fillers on both</w:t>
      </w:r>
      <w:r>
        <w:rPr>
          <w:spacing w:val="-1"/>
        </w:rPr>
        <w:t> </w:t>
      </w:r>
      <w:r>
        <w:rPr/>
        <w:t>the mechanical and thermal properties of LWCC. Various lightweight fillers including three types of hollow glass microspheres (HGM) and two fly</w:t>
      </w:r>
      <w:r>
        <w:rPr>
          <w:spacing w:val="-6"/>
        </w:rPr>
        <w:t> </w:t>
      </w:r>
      <w:r>
        <w:rPr/>
        <w:t>ash</w:t>
      </w:r>
      <w:r>
        <w:rPr>
          <w:spacing w:val="-2"/>
        </w:rPr>
        <w:t> </w:t>
      </w:r>
      <w:r>
        <w:rPr/>
        <w:t>cenospheres (FACs) are studied in</w:t>
      </w:r>
      <w:r>
        <w:rPr>
          <w:spacing w:val="-2"/>
        </w:rPr>
        <w:t> </w:t>
      </w:r>
      <w:r>
        <w:rPr/>
        <w:t>conjunction</w:t>
      </w:r>
      <w:r>
        <w:rPr>
          <w:spacing w:val="-2"/>
        </w:rPr>
        <w:t> </w:t>
      </w:r>
      <w:r>
        <w:rPr/>
        <w:t>with various particle size, shell wall thickness, and volume fractions. Both mechanical and thermophysical</w:t>
      </w:r>
      <w:r>
        <w:rPr>
          <w:spacing w:val="-3"/>
        </w:rPr>
        <w:t> </w:t>
      </w:r>
      <w:r>
        <w:rPr/>
        <w:t>properties were tested.</w:t>
      </w:r>
      <w:r>
        <w:rPr>
          <w:spacing w:val="-1"/>
        </w:rPr>
        <w:t> </w:t>
      </w:r>
      <w:r>
        <w:rPr/>
        <w:t>The results indicated that</w:t>
      </w:r>
      <w:r>
        <w:rPr>
          <w:spacing w:val="-2"/>
        </w:rPr>
        <w:t> </w:t>
      </w:r>
      <w:r>
        <w:rPr/>
        <w:t>the thermal</w:t>
      </w:r>
      <w:r>
        <w:rPr>
          <w:spacing w:val="-7"/>
        </w:rPr>
        <w:t> </w:t>
      </w:r>
      <w:r>
        <w:rPr/>
        <w:t>property</w:t>
      </w:r>
      <w:r>
        <w:rPr>
          <w:spacing w:val="-8"/>
        </w:rPr>
        <w:t> </w:t>
      </w:r>
      <w:r>
        <w:rPr/>
        <w:t>of</w:t>
      </w:r>
      <w:r>
        <w:rPr>
          <w:spacing w:val="-6"/>
        </w:rPr>
        <w:t> </w:t>
      </w:r>
      <w:r>
        <w:rPr/>
        <w:t>LWCC is mostly governed by the volume fraction of LWFs whereas the mechanical properties are heavily affected by</w:t>
      </w:r>
      <w:r>
        <w:rPr>
          <w:spacing w:val="-3"/>
        </w:rPr>
        <w:t> </w:t>
      </w:r>
      <w:r>
        <w:rPr/>
        <w:t>the type and property</w:t>
      </w:r>
      <w:r>
        <w:rPr>
          <w:spacing w:val="-3"/>
        </w:rPr>
        <w:t> </w:t>
      </w:r>
      <w:r>
        <w:rPr/>
        <w:t>of LWF particles included. In addition, to understand the materials’ mechanical performance under high strain rate, split Hopkinson pressure bar (SHPB) tests were conducted for strain rate ranging from 400 s</w:t>
      </w:r>
      <w:r>
        <w:rPr>
          <w:vertAlign w:val="superscript"/>
        </w:rPr>
        <w:t>-1</w:t>
      </w:r>
      <w:r>
        <w:rPr>
          <w:vertAlign w:val="baseline"/>
        </w:rPr>
        <w:t> to 1000 s</w:t>
      </w:r>
      <w:r>
        <w:rPr>
          <w:vertAlign w:val="superscript"/>
        </w:rPr>
        <w:t>-1</w:t>
      </w:r>
      <w:r>
        <w:rPr>
          <w:vertAlign w:val="baseline"/>
        </w:rPr>
        <w:t>.</w:t>
      </w:r>
    </w:p>
    <w:p>
      <w:pPr>
        <w:pStyle w:val="Heading1"/>
        <w:spacing w:before="209"/>
      </w:pPr>
      <w:r>
        <w:rPr>
          <w:spacing w:val="-2"/>
        </w:rPr>
        <w:t>INTRODUCTION</w:t>
      </w:r>
    </w:p>
    <w:p>
      <w:pPr>
        <w:pStyle w:val="Heading2"/>
        <w:spacing w:before="199"/>
      </w:pPr>
      <w:r>
        <w:rPr/>
        <w:t>Cementitious</w:t>
      </w:r>
      <w:r>
        <w:rPr>
          <w:spacing w:val="-2"/>
        </w:rPr>
        <w:t> </w:t>
      </w:r>
      <w:r>
        <w:rPr/>
        <w:t>Materials</w:t>
      </w:r>
      <w:r>
        <w:rPr>
          <w:spacing w:val="-2"/>
        </w:rPr>
        <w:t> </w:t>
      </w:r>
      <w:r>
        <w:rPr/>
        <w:t>for</w:t>
      </w:r>
      <w:r>
        <w:rPr>
          <w:spacing w:val="-6"/>
        </w:rPr>
        <w:t> </w:t>
      </w:r>
      <w:r>
        <w:rPr/>
        <w:t>Additive</w:t>
      </w:r>
      <w:r>
        <w:rPr>
          <w:spacing w:val="-1"/>
        </w:rPr>
        <w:t> </w:t>
      </w:r>
      <w:r>
        <w:rPr>
          <w:spacing w:val="-2"/>
        </w:rPr>
        <w:t>Construction</w:t>
      </w:r>
    </w:p>
    <w:p>
      <w:pPr>
        <w:pStyle w:val="BodyText"/>
        <w:spacing w:before="194"/>
        <w:ind w:firstLine="360"/>
      </w:pPr>
      <w:r>
        <w:rPr/>
        <w:t>Provoked</w:t>
      </w:r>
      <w:r>
        <w:rPr>
          <w:spacing w:val="-3"/>
        </w:rPr>
        <w:t> </w:t>
      </w:r>
      <w:r>
        <w:rPr/>
        <w:t>by</w:t>
      </w:r>
      <w:r>
        <w:rPr>
          <w:spacing w:val="-13"/>
        </w:rPr>
        <w:t> </w:t>
      </w:r>
      <w:r>
        <w:rPr/>
        <w:t>recent advancements</w:t>
      </w:r>
      <w:r>
        <w:rPr>
          <w:spacing w:val="-2"/>
        </w:rPr>
        <w:t> </w:t>
      </w:r>
      <w:r>
        <w:rPr/>
        <w:t>in</w:t>
      </w:r>
      <w:r>
        <w:rPr>
          <w:spacing w:val="-8"/>
        </w:rPr>
        <w:t> </w:t>
      </w:r>
      <w:r>
        <w:rPr/>
        <w:t>additive manufacturing</w:t>
      </w:r>
      <w:r>
        <w:rPr>
          <w:spacing w:val="-3"/>
        </w:rPr>
        <w:t> </w:t>
      </w:r>
      <w:r>
        <w:rPr/>
        <w:t>(Wu</w:t>
      </w:r>
      <w:r>
        <w:rPr>
          <w:spacing w:val="-3"/>
        </w:rPr>
        <w:t> </w:t>
      </w:r>
      <w:r>
        <w:rPr/>
        <w:t>et al.</w:t>
      </w:r>
      <w:r>
        <w:rPr>
          <w:spacing w:val="-2"/>
        </w:rPr>
        <w:t> </w:t>
      </w:r>
      <w:r>
        <w:rPr/>
        <w:t>2016),</w:t>
      </w:r>
      <w:r>
        <w:rPr>
          <w:spacing w:val="-2"/>
        </w:rPr>
        <w:t> </w:t>
      </w:r>
      <w:r>
        <w:rPr/>
        <w:t>3D</w:t>
      </w:r>
      <w:r>
        <w:rPr>
          <w:spacing w:val="-9"/>
        </w:rPr>
        <w:t> </w:t>
      </w:r>
      <w:r>
        <w:rPr/>
        <w:t>printable concrete</w:t>
      </w:r>
      <w:r>
        <w:rPr>
          <w:spacing w:val="-3"/>
        </w:rPr>
        <w:t> </w:t>
      </w:r>
      <w:r>
        <w:rPr/>
        <w:t>has</w:t>
      </w:r>
      <w:r>
        <w:rPr>
          <w:spacing w:val="-4"/>
        </w:rPr>
        <w:t> </w:t>
      </w:r>
      <w:r>
        <w:rPr/>
        <w:t>been</w:t>
      </w:r>
      <w:r>
        <w:rPr>
          <w:spacing w:val="-6"/>
        </w:rPr>
        <w:t> </w:t>
      </w:r>
      <w:r>
        <w:rPr/>
        <w:t>explored</w:t>
      </w:r>
      <w:r>
        <w:rPr>
          <w:spacing w:val="-2"/>
        </w:rPr>
        <w:t> </w:t>
      </w:r>
      <w:r>
        <w:rPr/>
        <w:t>as</w:t>
      </w:r>
      <w:r>
        <w:rPr>
          <w:spacing w:val="-3"/>
        </w:rPr>
        <w:t> </w:t>
      </w:r>
      <w:r>
        <w:rPr/>
        <w:t>an</w:t>
      </w:r>
      <w:r>
        <w:rPr>
          <w:spacing w:val="-7"/>
        </w:rPr>
        <w:t> </w:t>
      </w:r>
      <w:r>
        <w:rPr/>
        <w:t>alternative</w:t>
      </w:r>
      <w:r>
        <w:rPr>
          <w:spacing w:val="2"/>
        </w:rPr>
        <w:t> </w:t>
      </w:r>
      <w:r>
        <w:rPr/>
        <w:t>method</w:t>
      </w:r>
      <w:r>
        <w:rPr>
          <w:spacing w:val="-6"/>
        </w:rPr>
        <w:t> </w:t>
      </w:r>
      <w:r>
        <w:rPr/>
        <w:t>to</w:t>
      </w:r>
      <w:r>
        <w:rPr>
          <w:spacing w:val="3"/>
        </w:rPr>
        <w:t> </w:t>
      </w:r>
      <w:r>
        <w:rPr/>
        <w:t>construct</w:t>
      </w:r>
      <w:r>
        <w:rPr>
          <w:spacing w:val="3"/>
        </w:rPr>
        <w:t> </w:t>
      </w:r>
      <w:r>
        <w:rPr/>
        <w:t>concrete</w:t>
      </w:r>
      <w:r>
        <w:rPr>
          <w:spacing w:val="-8"/>
        </w:rPr>
        <w:t> </w:t>
      </w:r>
      <w:r>
        <w:rPr/>
        <w:t>structures</w:t>
      </w:r>
      <w:r>
        <w:rPr>
          <w:spacing w:val="8"/>
        </w:rPr>
        <w:t> </w:t>
      </w:r>
      <w:r>
        <w:rPr/>
        <w:t>(Figure</w:t>
      </w:r>
      <w:r>
        <w:rPr>
          <w:spacing w:val="-2"/>
        </w:rPr>
        <w:t> </w:t>
      </w:r>
      <w:r>
        <w:rPr>
          <w:spacing w:val="-5"/>
        </w:rPr>
        <w:t>1).</w:t>
      </w:r>
    </w:p>
    <w:p>
      <w:pPr>
        <w:pStyle w:val="BodyText"/>
        <w:spacing w:before="1"/>
        <w:ind w:right="383"/>
      </w:pPr>
      <w:r>
        <w:rPr/>
        <w:t>3-D</w:t>
      </w:r>
      <w:r>
        <w:rPr>
          <w:spacing w:val="-4"/>
        </w:rPr>
        <w:t> </w:t>
      </w:r>
      <w:r>
        <w:rPr/>
        <w:t>printing</w:t>
      </w:r>
      <w:r>
        <w:rPr>
          <w:spacing w:val="-3"/>
        </w:rPr>
        <w:t> </w:t>
      </w:r>
      <w:r>
        <w:rPr/>
        <w:t>of</w:t>
      </w:r>
      <w:r>
        <w:rPr>
          <w:spacing w:val="-10"/>
        </w:rPr>
        <w:t> </w:t>
      </w:r>
      <w:r>
        <w:rPr/>
        <w:t>cementitious</w:t>
      </w:r>
      <w:r>
        <w:rPr>
          <w:spacing w:val="-1"/>
        </w:rPr>
        <w:t> </w:t>
      </w:r>
      <w:r>
        <w:rPr/>
        <w:t>materials</w:t>
      </w:r>
      <w:r>
        <w:rPr>
          <w:spacing w:val="-1"/>
        </w:rPr>
        <w:t> </w:t>
      </w:r>
      <w:r>
        <w:rPr/>
        <w:t>has</w:t>
      </w:r>
      <w:r>
        <w:rPr>
          <w:spacing w:val="-5"/>
        </w:rPr>
        <w:t> </w:t>
      </w:r>
      <w:r>
        <w:rPr/>
        <w:t>the</w:t>
      </w:r>
      <w:r>
        <w:rPr>
          <w:spacing w:val="-4"/>
        </w:rPr>
        <w:t> </w:t>
      </w:r>
      <w:r>
        <w:rPr/>
        <w:t>potential</w:t>
      </w:r>
      <w:r>
        <w:rPr>
          <w:spacing w:val="-11"/>
        </w:rPr>
        <w:t> </w:t>
      </w:r>
      <w:r>
        <w:rPr/>
        <w:t>to address</w:t>
      </w:r>
      <w:r>
        <w:rPr>
          <w:spacing w:val="-5"/>
        </w:rPr>
        <w:t> </w:t>
      </w:r>
      <w:r>
        <w:rPr/>
        <w:t>several</w:t>
      </w:r>
      <w:r>
        <w:rPr>
          <w:spacing w:val="-8"/>
        </w:rPr>
        <w:t> </w:t>
      </w:r>
      <w:r>
        <w:rPr/>
        <w:t>major</w:t>
      </w:r>
      <w:r>
        <w:rPr>
          <w:spacing w:val="-2"/>
        </w:rPr>
        <w:t> </w:t>
      </w:r>
      <w:r>
        <w:rPr/>
        <w:t>challenges</w:t>
      </w:r>
      <w:r>
        <w:rPr>
          <w:spacing w:val="-1"/>
        </w:rPr>
        <w:t> </w:t>
      </w:r>
      <w:r>
        <w:rPr/>
        <w:t>faced by</w:t>
      </w:r>
      <w:r>
        <w:rPr>
          <w:spacing w:val="-3"/>
        </w:rPr>
        <w:t> </w:t>
      </w:r>
      <w:r>
        <w:rPr/>
        <w:t>the current concrete industry: (i) it eliminates the use of formwork (mold) and vibration that are typically necessary for consolidating wet concrete, which can significantly reduce material and labor costs involved in the formwork construction, particularly for in situ cast concrete; (ii) the highly automated construction process can reduce the material waste, cut down construction time, and reduce human error (Buswell et al. 2006; Bos et al. 2016); in addition, (iii) it allows a new approach for concrete design – the composition and property of printed material can be parametrically</w:t>
      </w:r>
      <w:r>
        <w:rPr>
          <w:spacing w:val="-1"/>
        </w:rPr>
        <w:t> </w:t>
      </w:r>
      <w:r>
        <w:rPr/>
        <w:t>varied from</w:t>
      </w:r>
      <w:r>
        <w:rPr>
          <w:spacing w:val="-5"/>
        </w:rPr>
        <w:t> </w:t>
      </w:r>
      <w:r>
        <w:rPr/>
        <w:t>one location</w:t>
      </w:r>
      <w:r>
        <w:rPr>
          <w:spacing w:val="-1"/>
        </w:rPr>
        <w:t> </w:t>
      </w:r>
      <w:r>
        <w:rPr/>
        <w:t>to another,</w:t>
      </w:r>
      <w:r>
        <w:rPr>
          <w:spacing w:val="-3"/>
        </w:rPr>
        <w:t> </w:t>
      </w:r>
      <w:r>
        <w:rPr/>
        <w:t>tuning to</w:t>
      </w:r>
      <w:r>
        <w:rPr>
          <w:spacing w:val="-1"/>
        </w:rPr>
        <w:t> </w:t>
      </w:r>
      <w:r>
        <w:rPr/>
        <w:t>the optimal</w:t>
      </w:r>
      <w:r>
        <w:rPr>
          <w:spacing w:val="-5"/>
        </w:rPr>
        <w:t> </w:t>
      </w:r>
      <w:r>
        <w:rPr/>
        <w:t>structural</w:t>
      </w:r>
      <w:r>
        <w:rPr>
          <w:spacing w:val="-5"/>
        </w:rPr>
        <w:t> </w:t>
      </w:r>
      <w:r>
        <w:rPr/>
        <w:t>and energetic </w:t>
      </w:r>
      <w:r>
        <w:rPr>
          <w:spacing w:val="-2"/>
        </w:rPr>
        <w:t>performances.</w:t>
      </w:r>
    </w:p>
    <w:p>
      <w:pPr>
        <w:pStyle w:val="BodyText"/>
        <w:spacing w:after="0"/>
        <w:sectPr>
          <w:headerReference w:type="default" r:id="rId5"/>
          <w:footerReference w:type="default" r:id="rId6"/>
          <w:type w:val="continuous"/>
          <w:pgSz w:w="12240" w:h="15840"/>
          <w:pgMar w:header="720" w:footer="746" w:top="1340" w:bottom="940" w:left="1440" w:right="1080"/>
          <w:pgNumType w:start="600"/>
        </w:sectPr>
      </w:pPr>
    </w:p>
    <w:p>
      <w:pPr>
        <w:pStyle w:val="BodyText"/>
        <w:spacing w:before="6" w:after="1"/>
        <w:rPr>
          <w:sz w:val="7"/>
        </w:rPr>
      </w:pPr>
    </w:p>
    <w:p>
      <w:pPr>
        <w:pStyle w:val="BodyText"/>
        <w:ind w:left="600"/>
        <w:rPr>
          <w:sz w:val="20"/>
        </w:rPr>
      </w:pPr>
      <w:r>
        <w:rPr>
          <w:sz w:val="20"/>
        </w:rPr>
        <w:drawing>
          <wp:inline distT="0" distB="0" distL="0" distR="0">
            <wp:extent cx="5238750" cy="16764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238750" cy="1676400"/>
                    </a:xfrm>
                    <a:prstGeom prst="rect">
                      <a:avLst/>
                    </a:prstGeom>
                  </pic:spPr>
                </pic:pic>
              </a:graphicData>
            </a:graphic>
          </wp:inline>
        </w:drawing>
      </w:r>
      <w:r>
        <w:rPr>
          <w:sz w:val="20"/>
        </w:rPr>
      </w:r>
    </w:p>
    <w:p>
      <w:pPr>
        <w:pStyle w:val="Heading2"/>
        <w:spacing w:line="242" w:lineRule="auto"/>
        <w:ind w:left="120" w:right="490"/>
        <w:jc w:val="center"/>
      </w:pPr>
      <w:r>
        <w:rPr/>
        <w:t>Figure</w:t>
      </w:r>
      <w:r>
        <w:rPr>
          <w:spacing w:val="-4"/>
        </w:rPr>
        <w:t> </w:t>
      </w:r>
      <w:r>
        <w:rPr/>
        <w:t>1.</w:t>
      </w:r>
      <w:r>
        <w:rPr>
          <w:spacing w:val="-2"/>
        </w:rPr>
        <w:t> </w:t>
      </w:r>
      <w:r>
        <w:rPr/>
        <w:t>(a)</w:t>
      </w:r>
      <w:r>
        <w:rPr>
          <w:spacing w:val="-3"/>
        </w:rPr>
        <w:t> </w:t>
      </w:r>
      <w:r>
        <w:rPr/>
        <w:t>Rendering</w:t>
      </w:r>
      <w:r>
        <w:rPr>
          <w:spacing w:val="-3"/>
        </w:rPr>
        <w:t> </w:t>
      </w:r>
      <w:r>
        <w:rPr/>
        <w:t>showing</w:t>
      </w:r>
      <w:r>
        <w:rPr>
          <w:spacing w:val="-3"/>
        </w:rPr>
        <w:t> </w:t>
      </w:r>
      <w:r>
        <w:rPr/>
        <w:t>additive</w:t>
      </w:r>
      <w:r>
        <w:rPr>
          <w:spacing w:val="-4"/>
        </w:rPr>
        <w:t> </w:t>
      </w:r>
      <w:r>
        <w:rPr/>
        <w:t>construction</w:t>
      </w:r>
      <w:r>
        <w:rPr>
          <w:spacing w:val="-3"/>
        </w:rPr>
        <w:t> </w:t>
      </w:r>
      <w:r>
        <w:rPr/>
        <w:t>with</w:t>
      </w:r>
      <w:r>
        <w:rPr>
          <w:spacing w:val="-3"/>
        </w:rPr>
        <w:t> </w:t>
      </w:r>
      <w:r>
        <w:rPr/>
        <w:t>concrete,</w:t>
      </w:r>
      <w:r>
        <w:rPr>
          <w:spacing w:val="-2"/>
        </w:rPr>
        <w:t> </w:t>
      </w:r>
      <w:r>
        <w:rPr/>
        <w:t>and</w:t>
      </w:r>
      <w:r>
        <w:rPr>
          <w:spacing w:val="-7"/>
        </w:rPr>
        <w:t> </w:t>
      </w:r>
      <w:r>
        <w:rPr/>
        <w:t>(b)</w:t>
      </w:r>
      <w:r>
        <w:rPr>
          <w:spacing w:val="-3"/>
        </w:rPr>
        <w:t> </w:t>
      </w:r>
      <w:r>
        <w:rPr/>
        <w:t>concept</w:t>
      </w:r>
      <w:r>
        <w:rPr>
          <w:spacing w:val="-6"/>
        </w:rPr>
        <w:t> </w:t>
      </w:r>
      <w:r>
        <w:rPr/>
        <w:t>of</w:t>
      </w:r>
      <w:r>
        <w:rPr>
          <w:spacing w:val="-6"/>
        </w:rPr>
        <w:t> </w:t>
      </w:r>
      <w:r>
        <w:rPr/>
        <w:t>a 3-D printed concrete wall section (Bos et al. 2016).</w:t>
      </w:r>
    </w:p>
    <w:p>
      <w:pPr>
        <w:spacing w:before="165"/>
        <w:ind w:left="0" w:right="368" w:firstLine="0"/>
        <w:jc w:val="center"/>
        <w:rPr>
          <w:b/>
          <w:sz w:val="24"/>
        </w:rPr>
      </w:pPr>
      <w:r>
        <w:rPr>
          <w:b/>
          <w:sz w:val="24"/>
        </w:rPr>
        <w:drawing>
          <wp:anchor distT="0" distB="0" distL="0" distR="0" allowOverlap="1" layoutInCell="1" locked="0" behindDoc="0" simplePos="0" relativeHeight="15729152">
            <wp:simplePos x="0" y="0"/>
            <wp:positionH relativeFrom="page">
              <wp:posOffset>1247241</wp:posOffset>
            </wp:positionH>
            <wp:positionV relativeFrom="paragraph">
              <wp:posOffset>280877</wp:posOffset>
            </wp:positionV>
            <wp:extent cx="5277942" cy="18288"/>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277942" cy="18288"/>
                    </a:xfrm>
                    <a:prstGeom prst="rect">
                      <a:avLst/>
                    </a:prstGeom>
                  </pic:spPr>
                </pic:pic>
              </a:graphicData>
            </a:graphic>
          </wp:anchor>
        </w:drawing>
      </w:r>
      <w:r>
        <w:rPr>
          <w:b/>
          <w:sz w:val="24"/>
        </w:rPr>
        <w:t>Table</w:t>
      </w:r>
      <w:r>
        <w:rPr>
          <w:b/>
          <w:spacing w:val="-3"/>
          <w:sz w:val="24"/>
        </w:rPr>
        <w:t> </w:t>
      </w:r>
      <w:r>
        <w:rPr>
          <w:b/>
          <w:sz w:val="24"/>
        </w:rPr>
        <w:t>1. Properties</w:t>
      </w:r>
      <w:r>
        <w:rPr>
          <w:b/>
          <w:spacing w:val="-4"/>
          <w:sz w:val="24"/>
        </w:rPr>
        <w:t> </w:t>
      </w:r>
      <w:r>
        <w:rPr>
          <w:b/>
          <w:sz w:val="24"/>
        </w:rPr>
        <w:t>of</w:t>
      </w:r>
      <w:r>
        <w:rPr>
          <w:b/>
          <w:spacing w:val="-5"/>
          <w:sz w:val="24"/>
        </w:rPr>
        <w:t> </w:t>
      </w:r>
      <w:r>
        <w:rPr>
          <w:b/>
          <w:sz w:val="24"/>
        </w:rPr>
        <w:t>the</w:t>
      </w:r>
      <w:r>
        <w:rPr>
          <w:b/>
          <w:spacing w:val="-3"/>
          <w:sz w:val="24"/>
        </w:rPr>
        <w:t> </w:t>
      </w:r>
      <w:r>
        <w:rPr>
          <w:b/>
          <w:sz w:val="24"/>
        </w:rPr>
        <w:t>lightweight</w:t>
      </w:r>
      <w:r>
        <w:rPr>
          <w:b/>
          <w:spacing w:val="-1"/>
          <w:sz w:val="24"/>
        </w:rPr>
        <w:t> </w:t>
      </w:r>
      <w:r>
        <w:rPr>
          <w:b/>
          <w:sz w:val="24"/>
        </w:rPr>
        <w:t>particle</w:t>
      </w:r>
      <w:r>
        <w:rPr>
          <w:b/>
          <w:spacing w:val="-2"/>
          <w:sz w:val="24"/>
        </w:rPr>
        <w:t> fillers.</w:t>
      </w:r>
    </w:p>
    <w:p>
      <w:pPr>
        <w:spacing w:after="0"/>
        <w:jc w:val="center"/>
        <w:rPr>
          <w:b/>
          <w:sz w:val="24"/>
        </w:rPr>
        <w:sectPr>
          <w:pgSz w:w="12240" w:h="15840"/>
          <w:pgMar w:header="720" w:footer="746" w:top="1340" w:bottom="940" w:left="1440" w:right="1080"/>
        </w:sectPr>
      </w:pPr>
    </w:p>
    <w:p>
      <w:pPr>
        <w:spacing w:line="195" w:lineRule="exact" w:before="30"/>
        <w:ind w:left="3525" w:right="0" w:firstLine="0"/>
        <w:jc w:val="left"/>
        <w:rPr>
          <w:b/>
          <w:position w:val="-7"/>
          <w:sz w:val="21"/>
        </w:rPr>
      </w:pPr>
      <w:r>
        <w:rPr>
          <w:b/>
          <w:spacing w:val="64"/>
          <w:w w:val="150"/>
          <w:sz w:val="20"/>
          <w:u w:val="single"/>
        </w:rPr>
        <w:t> </w:t>
      </w:r>
      <w:r>
        <w:rPr>
          <w:b/>
          <w:sz w:val="20"/>
          <w:u w:val="single"/>
        </w:rPr>
        <w:t>Particle</w:t>
      </w:r>
      <w:r>
        <w:rPr>
          <w:b/>
          <w:spacing w:val="-2"/>
          <w:sz w:val="20"/>
          <w:u w:val="single"/>
        </w:rPr>
        <w:t> </w:t>
      </w:r>
      <w:r>
        <w:rPr>
          <w:b/>
          <w:sz w:val="20"/>
          <w:u w:val="single"/>
        </w:rPr>
        <w:t>Size</w:t>
      </w:r>
      <w:r>
        <w:rPr>
          <w:b/>
          <w:spacing w:val="-2"/>
          <w:sz w:val="20"/>
          <w:u w:val="single"/>
        </w:rPr>
        <w:t> </w:t>
      </w:r>
      <w:r>
        <w:rPr>
          <w:b/>
          <w:sz w:val="20"/>
          <w:u w:val="single"/>
        </w:rPr>
        <w:t>(</w:t>
      </w:r>
      <w:r>
        <w:rPr>
          <w:b/>
          <w:i/>
          <w:sz w:val="20"/>
          <w:u w:val="single"/>
        </w:rPr>
        <w:t>μm</w:t>
      </w:r>
      <w:r>
        <w:rPr>
          <w:b/>
          <w:sz w:val="20"/>
          <w:u w:val="single"/>
        </w:rPr>
        <w:t>)</w:t>
      </w:r>
      <w:r>
        <w:rPr>
          <w:b/>
          <w:spacing w:val="60"/>
          <w:w w:val="150"/>
          <w:sz w:val="20"/>
          <w:u w:val="single"/>
        </w:rPr>
        <w:t> </w:t>
      </w:r>
      <w:r>
        <w:rPr>
          <w:b/>
          <w:spacing w:val="-4"/>
          <w:w w:val="150"/>
          <w:sz w:val="20"/>
        </w:rPr>
        <w:t> </w:t>
      </w:r>
      <w:r>
        <w:rPr>
          <w:b/>
          <w:position w:val="-7"/>
          <w:sz w:val="21"/>
        </w:rPr>
        <w:t>Wall</w:t>
      </w:r>
      <w:r>
        <w:rPr>
          <w:b/>
          <w:spacing w:val="-2"/>
          <w:position w:val="-7"/>
          <w:sz w:val="21"/>
        </w:rPr>
        <w:t> Thickness</w:t>
      </w:r>
    </w:p>
    <w:p>
      <w:pPr>
        <w:spacing w:line="195" w:lineRule="exact" w:before="31"/>
        <w:ind w:left="190" w:right="0" w:firstLine="0"/>
        <w:jc w:val="left"/>
        <w:rPr>
          <w:b/>
          <w:sz w:val="21"/>
        </w:rPr>
      </w:pPr>
      <w:r>
        <w:rPr/>
        <w:br w:type="column"/>
      </w:r>
      <w:r>
        <w:rPr>
          <w:b/>
          <w:spacing w:val="-2"/>
          <w:sz w:val="21"/>
        </w:rPr>
        <w:t>Density</w:t>
      </w:r>
    </w:p>
    <w:p>
      <w:pPr>
        <w:spacing w:line="210" w:lineRule="exact" w:before="16"/>
        <w:ind w:left="349" w:right="0" w:firstLine="0"/>
        <w:jc w:val="left"/>
        <w:rPr>
          <w:b/>
          <w:sz w:val="20"/>
        </w:rPr>
      </w:pPr>
      <w:r>
        <w:rPr/>
        <w:br w:type="column"/>
      </w:r>
      <w:r>
        <w:rPr>
          <w:b/>
          <w:spacing w:val="-2"/>
          <w:sz w:val="20"/>
        </w:rPr>
        <w:t>Crush</w:t>
      </w:r>
    </w:p>
    <w:p>
      <w:pPr>
        <w:spacing w:after="0" w:line="210" w:lineRule="exact"/>
        <w:jc w:val="left"/>
        <w:rPr>
          <w:b/>
          <w:sz w:val="20"/>
        </w:rPr>
        <w:sectPr>
          <w:type w:val="continuous"/>
          <w:pgSz w:w="12240" w:h="15840"/>
          <w:pgMar w:header="720" w:footer="746" w:top="1340" w:bottom="940" w:left="1440" w:right="1080"/>
          <w:cols w:num="3" w:equalWidth="0">
            <w:col w:w="6781" w:space="40"/>
            <w:col w:w="867" w:space="39"/>
            <w:col w:w="1993"/>
          </w:cols>
        </w:sectPr>
      </w:pPr>
    </w:p>
    <w:p>
      <w:pPr>
        <w:tabs>
          <w:tab w:pos="2324" w:val="left" w:leader="none"/>
        </w:tabs>
        <w:spacing w:line="234" w:lineRule="exact" w:before="0"/>
        <w:ind w:left="721" w:right="0" w:firstLine="0"/>
        <w:jc w:val="left"/>
        <w:rPr>
          <w:b/>
          <w:sz w:val="21"/>
        </w:rPr>
      </w:pPr>
      <w:r>
        <w:rPr>
          <w:b/>
          <w:sz w:val="21"/>
        </w:rPr>
        <w:t>LWF</w:t>
      </w:r>
      <w:r>
        <w:rPr>
          <w:b/>
          <w:spacing w:val="-8"/>
          <w:sz w:val="21"/>
        </w:rPr>
        <w:t> </w:t>
      </w:r>
      <w:r>
        <w:rPr>
          <w:b/>
          <w:spacing w:val="-4"/>
          <w:sz w:val="21"/>
        </w:rPr>
        <w:t>Type</w:t>
      </w:r>
      <w:r>
        <w:rPr>
          <w:b/>
          <w:sz w:val="21"/>
        </w:rPr>
        <w:tab/>
      </w:r>
      <w:r>
        <w:rPr>
          <w:b/>
          <w:spacing w:val="-2"/>
          <w:sz w:val="21"/>
        </w:rPr>
        <w:t>Material</w:t>
      </w:r>
    </w:p>
    <w:p>
      <w:pPr>
        <w:spacing w:before="102"/>
        <w:ind w:left="473" w:right="0" w:firstLine="0"/>
        <w:jc w:val="left"/>
        <w:rPr>
          <w:sz w:val="16"/>
        </w:rPr>
      </w:pPr>
      <w:r>
        <w:rPr/>
        <w:br w:type="column"/>
      </w:r>
      <w:r>
        <w:rPr>
          <w:i/>
          <w:spacing w:val="-5"/>
          <w:position w:val="2"/>
          <w:sz w:val="24"/>
        </w:rPr>
        <w:t>D</w:t>
      </w:r>
      <w:r>
        <w:rPr>
          <w:spacing w:val="-5"/>
          <w:sz w:val="16"/>
        </w:rPr>
        <w:t>10</w:t>
      </w:r>
    </w:p>
    <w:p>
      <w:pPr>
        <w:spacing w:before="102"/>
        <w:ind w:left="257" w:right="0" w:firstLine="0"/>
        <w:jc w:val="left"/>
        <w:rPr>
          <w:sz w:val="16"/>
        </w:rPr>
      </w:pPr>
      <w:r>
        <w:rPr/>
        <w:br w:type="column"/>
      </w:r>
      <w:r>
        <w:rPr>
          <w:i/>
          <w:spacing w:val="-5"/>
          <w:position w:val="2"/>
          <w:sz w:val="24"/>
        </w:rPr>
        <w:t>D</w:t>
      </w:r>
      <w:r>
        <w:rPr>
          <w:spacing w:val="-5"/>
          <w:sz w:val="16"/>
        </w:rPr>
        <w:t>50</w:t>
      </w:r>
    </w:p>
    <w:p>
      <w:pPr>
        <w:spacing w:before="102"/>
        <w:ind w:left="252" w:right="0" w:firstLine="0"/>
        <w:jc w:val="left"/>
        <w:rPr>
          <w:sz w:val="16"/>
        </w:rPr>
      </w:pPr>
      <w:r>
        <w:rPr/>
        <w:br w:type="column"/>
      </w:r>
      <w:r>
        <w:rPr>
          <w:i/>
          <w:spacing w:val="-5"/>
          <w:position w:val="2"/>
          <w:sz w:val="24"/>
        </w:rPr>
        <w:t>D</w:t>
      </w:r>
      <w:r>
        <w:rPr>
          <w:spacing w:val="-5"/>
          <w:sz w:val="16"/>
        </w:rPr>
        <w:t>90</w:t>
      </w:r>
    </w:p>
    <w:p>
      <w:pPr>
        <w:spacing w:before="107"/>
        <w:ind w:left="512" w:right="0" w:firstLine="0"/>
        <w:jc w:val="left"/>
        <w:rPr>
          <w:sz w:val="21"/>
        </w:rPr>
      </w:pPr>
      <w:r>
        <w:rPr/>
        <w:br w:type="column"/>
      </w:r>
      <w:r>
        <w:rPr>
          <w:b/>
          <w:sz w:val="21"/>
        </w:rPr>
        <w:t>-</w:t>
      </w:r>
      <w:r>
        <w:rPr>
          <w:b/>
          <w:spacing w:val="1"/>
          <w:sz w:val="21"/>
        </w:rPr>
        <w:t> </w:t>
      </w:r>
      <w:r>
        <w:rPr>
          <w:i/>
          <w:sz w:val="21"/>
        </w:rPr>
        <w:t>t</w:t>
      </w:r>
      <w:r>
        <w:rPr>
          <w:i/>
          <w:spacing w:val="-1"/>
          <w:sz w:val="21"/>
        </w:rPr>
        <w:t> </w:t>
      </w:r>
      <w:r>
        <w:rPr>
          <w:spacing w:val="-4"/>
          <w:sz w:val="21"/>
        </w:rPr>
        <w:t>(</w:t>
      </w:r>
      <w:r>
        <w:rPr>
          <w:i/>
          <w:spacing w:val="-4"/>
          <w:sz w:val="21"/>
        </w:rPr>
        <w:t>μm</w:t>
      </w:r>
      <w:r>
        <w:rPr>
          <w:spacing w:val="-4"/>
          <w:sz w:val="21"/>
        </w:rPr>
        <w:t>)</w:t>
      </w:r>
    </w:p>
    <w:p>
      <w:pPr>
        <w:spacing w:before="40"/>
        <w:ind w:left="586" w:right="0" w:firstLine="0"/>
        <w:jc w:val="left"/>
        <w:rPr>
          <w:sz w:val="21"/>
        </w:rPr>
      </w:pPr>
      <w:r>
        <w:rPr/>
        <w:br w:type="column"/>
      </w:r>
      <w:r>
        <w:rPr>
          <w:spacing w:val="-4"/>
          <w:sz w:val="21"/>
        </w:rPr>
        <w:t>(g/cm</w:t>
      </w:r>
      <w:r>
        <w:rPr>
          <w:spacing w:val="-4"/>
          <w:sz w:val="21"/>
          <w:vertAlign w:val="superscript"/>
        </w:rPr>
        <w:t>3</w:t>
      </w:r>
      <w:r>
        <w:rPr>
          <w:spacing w:val="-4"/>
          <w:sz w:val="21"/>
          <w:vertAlign w:val="baseline"/>
        </w:rPr>
        <w:t>)</w:t>
      </w:r>
    </w:p>
    <w:p>
      <w:pPr>
        <w:spacing w:line="216" w:lineRule="auto" w:before="15"/>
        <w:ind w:left="369" w:right="1001" w:hanging="101"/>
        <w:jc w:val="left"/>
        <w:rPr>
          <w:b/>
          <w:sz w:val="20"/>
        </w:rPr>
      </w:pPr>
      <w:r>
        <w:rPr/>
        <w:br w:type="column"/>
      </w:r>
      <w:r>
        <w:rPr>
          <w:b/>
          <w:spacing w:val="-2"/>
          <w:sz w:val="20"/>
        </w:rPr>
        <w:t>Strength </w:t>
      </w:r>
      <w:r>
        <w:rPr>
          <w:b/>
          <w:spacing w:val="-4"/>
          <w:sz w:val="20"/>
        </w:rPr>
        <w:t>(MPa)</w:t>
      </w:r>
    </w:p>
    <w:p>
      <w:pPr>
        <w:spacing w:after="0" w:line="216" w:lineRule="auto"/>
        <w:jc w:val="left"/>
        <w:rPr>
          <w:b/>
          <w:sz w:val="20"/>
        </w:rPr>
        <w:sectPr>
          <w:type w:val="continuous"/>
          <w:pgSz w:w="12240" w:h="15840"/>
          <w:pgMar w:header="720" w:footer="746" w:top="1340" w:bottom="940" w:left="1440" w:right="1080"/>
          <w:cols w:num="7" w:equalWidth="0">
            <w:col w:w="3113" w:space="40"/>
            <w:col w:w="810" w:space="39"/>
            <w:col w:w="594" w:space="40"/>
            <w:col w:w="589" w:space="40"/>
            <w:col w:w="1145" w:space="39"/>
            <w:col w:w="1209" w:space="40"/>
            <w:col w:w="2022"/>
          </w:cols>
        </w:sectPr>
      </w:pPr>
    </w:p>
    <w:tbl>
      <w:tblPr>
        <w:tblW w:w="0" w:type="auto"/>
        <w:jc w:val="left"/>
        <w:tblInd w:w="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0"/>
        <w:gridCol w:w="1687"/>
        <w:gridCol w:w="545"/>
        <w:gridCol w:w="661"/>
        <w:gridCol w:w="858"/>
        <w:gridCol w:w="1120"/>
        <w:gridCol w:w="1069"/>
        <w:gridCol w:w="1048"/>
      </w:tblGrid>
      <w:tr>
        <w:trPr>
          <w:trHeight w:val="253" w:hRule="atLeast"/>
        </w:trPr>
        <w:tc>
          <w:tcPr>
            <w:tcW w:w="1330" w:type="dxa"/>
            <w:tcBorders>
              <w:top w:val="single" w:sz="12" w:space="0" w:color="000000"/>
            </w:tcBorders>
          </w:tcPr>
          <w:p>
            <w:pPr>
              <w:pStyle w:val="TableParagraph"/>
              <w:spacing w:line="226" w:lineRule="exact"/>
              <w:ind w:left="28"/>
              <w:rPr>
                <w:sz w:val="20"/>
              </w:rPr>
            </w:pPr>
            <w:r>
              <w:rPr>
                <w:sz w:val="20"/>
              </w:rPr>
              <w:t>HGM</w:t>
            </w:r>
            <w:r>
              <w:rPr>
                <w:spacing w:val="-8"/>
                <w:sz w:val="20"/>
              </w:rPr>
              <w:t> </w:t>
            </w:r>
            <w:r>
              <w:rPr>
                <w:spacing w:val="-5"/>
                <w:sz w:val="20"/>
              </w:rPr>
              <w:t>K25</w:t>
            </w:r>
          </w:p>
        </w:tc>
        <w:tc>
          <w:tcPr>
            <w:tcW w:w="1687" w:type="dxa"/>
            <w:tcBorders>
              <w:top w:val="single" w:sz="12" w:space="0" w:color="000000"/>
            </w:tcBorders>
          </w:tcPr>
          <w:p>
            <w:pPr>
              <w:pStyle w:val="TableParagraph"/>
              <w:spacing w:line="209" w:lineRule="exact" w:before="24"/>
              <w:ind w:left="81"/>
              <w:rPr>
                <w:sz w:val="20"/>
              </w:rPr>
            </w:pPr>
            <w:r>
              <w:rPr>
                <w:sz w:val="20"/>
              </w:rPr>
              <w:t>Hollow</w:t>
            </w:r>
            <w:r>
              <w:rPr>
                <w:spacing w:val="-9"/>
                <w:sz w:val="20"/>
              </w:rPr>
              <w:t> </w:t>
            </w:r>
            <w:r>
              <w:rPr>
                <w:spacing w:val="-2"/>
                <w:sz w:val="20"/>
              </w:rPr>
              <w:t>glass</w:t>
            </w:r>
          </w:p>
        </w:tc>
        <w:tc>
          <w:tcPr>
            <w:tcW w:w="545" w:type="dxa"/>
            <w:tcBorders>
              <w:top w:val="single" w:sz="12" w:space="0" w:color="000000"/>
            </w:tcBorders>
          </w:tcPr>
          <w:p>
            <w:pPr>
              <w:pStyle w:val="TableParagraph"/>
              <w:spacing w:line="233" w:lineRule="exact"/>
              <w:ind w:left="5" w:right="42"/>
              <w:jc w:val="center"/>
              <w:rPr>
                <w:sz w:val="21"/>
              </w:rPr>
            </w:pPr>
            <w:r>
              <w:rPr>
                <w:spacing w:val="-5"/>
                <w:sz w:val="21"/>
              </w:rPr>
              <w:t>25</w:t>
            </w:r>
          </w:p>
        </w:tc>
        <w:tc>
          <w:tcPr>
            <w:tcW w:w="661" w:type="dxa"/>
            <w:tcBorders>
              <w:top w:val="single" w:sz="12" w:space="0" w:color="000000"/>
            </w:tcBorders>
          </w:tcPr>
          <w:p>
            <w:pPr>
              <w:pStyle w:val="TableParagraph"/>
              <w:spacing w:line="233" w:lineRule="exact"/>
              <w:ind w:left="26" w:right="5"/>
              <w:jc w:val="center"/>
              <w:rPr>
                <w:sz w:val="21"/>
              </w:rPr>
            </w:pPr>
            <w:r>
              <w:rPr>
                <w:spacing w:val="-5"/>
                <w:sz w:val="21"/>
              </w:rPr>
              <w:t>55</w:t>
            </w:r>
          </w:p>
        </w:tc>
        <w:tc>
          <w:tcPr>
            <w:tcW w:w="858" w:type="dxa"/>
            <w:tcBorders>
              <w:top w:val="single" w:sz="12" w:space="0" w:color="000000"/>
            </w:tcBorders>
          </w:tcPr>
          <w:p>
            <w:pPr>
              <w:pStyle w:val="TableParagraph"/>
              <w:spacing w:line="233" w:lineRule="exact"/>
              <w:ind w:left="0" w:right="236"/>
              <w:jc w:val="center"/>
              <w:rPr>
                <w:sz w:val="21"/>
              </w:rPr>
            </w:pPr>
            <w:r>
              <w:rPr>
                <w:spacing w:val="-5"/>
                <w:sz w:val="21"/>
              </w:rPr>
              <w:t>90</w:t>
            </w:r>
          </w:p>
        </w:tc>
        <w:tc>
          <w:tcPr>
            <w:tcW w:w="1120" w:type="dxa"/>
            <w:tcBorders>
              <w:top w:val="single" w:sz="12" w:space="0" w:color="000000"/>
            </w:tcBorders>
          </w:tcPr>
          <w:p>
            <w:pPr>
              <w:pStyle w:val="TableParagraph"/>
              <w:spacing w:line="233" w:lineRule="exact"/>
              <w:ind w:left="301"/>
              <w:rPr>
                <w:sz w:val="21"/>
              </w:rPr>
            </w:pPr>
            <w:r>
              <w:rPr>
                <w:spacing w:val="-4"/>
                <w:sz w:val="21"/>
              </w:rPr>
              <w:t>0.85</w:t>
            </w:r>
          </w:p>
        </w:tc>
        <w:tc>
          <w:tcPr>
            <w:tcW w:w="1069" w:type="dxa"/>
            <w:tcBorders>
              <w:top w:val="single" w:sz="12" w:space="0" w:color="000000"/>
            </w:tcBorders>
          </w:tcPr>
          <w:p>
            <w:pPr>
              <w:pStyle w:val="TableParagraph"/>
              <w:spacing w:line="233" w:lineRule="exact"/>
              <w:ind w:left="0" w:right="257"/>
              <w:jc w:val="right"/>
              <w:rPr>
                <w:sz w:val="21"/>
              </w:rPr>
            </w:pPr>
            <w:r>
              <w:rPr>
                <w:spacing w:val="-4"/>
                <w:sz w:val="21"/>
              </w:rPr>
              <w:t>0.25</w:t>
            </w:r>
          </w:p>
        </w:tc>
        <w:tc>
          <w:tcPr>
            <w:tcW w:w="1048" w:type="dxa"/>
            <w:tcBorders>
              <w:top w:val="single" w:sz="12" w:space="0" w:color="000000"/>
            </w:tcBorders>
          </w:tcPr>
          <w:p>
            <w:pPr>
              <w:pStyle w:val="TableParagraph"/>
              <w:spacing w:line="233" w:lineRule="exact"/>
              <w:ind w:left="50" w:right="10"/>
              <w:jc w:val="center"/>
              <w:rPr>
                <w:sz w:val="21"/>
              </w:rPr>
            </w:pPr>
            <w:r>
              <w:rPr>
                <w:spacing w:val="-4"/>
                <w:sz w:val="21"/>
              </w:rPr>
              <w:t>0.75</w:t>
            </w:r>
          </w:p>
        </w:tc>
      </w:tr>
      <w:tr>
        <w:trPr>
          <w:trHeight w:val="236" w:hRule="atLeast"/>
        </w:trPr>
        <w:tc>
          <w:tcPr>
            <w:tcW w:w="1330" w:type="dxa"/>
          </w:tcPr>
          <w:p>
            <w:pPr>
              <w:pStyle w:val="TableParagraph"/>
              <w:spacing w:line="216" w:lineRule="exact"/>
              <w:ind w:left="28"/>
              <w:rPr>
                <w:sz w:val="20"/>
              </w:rPr>
            </w:pPr>
            <w:r>
              <w:rPr>
                <w:sz w:val="20"/>
              </w:rPr>
              <w:t>HGM</w:t>
            </w:r>
            <w:r>
              <w:rPr>
                <w:spacing w:val="-10"/>
                <w:sz w:val="20"/>
              </w:rPr>
              <w:t> </w:t>
            </w:r>
            <w:r>
              <w:rPr>
                <w:spacing w:val="-2"/>
                <w:sz w:val="20"/>
              </w:rPr>
              <w:t>S38HS</w:t>
            </w:r>
          </w:p>
        </w:tc>
        <w:tc>
          <w:tcPr>
            <w:tcW w:w="1687" w:type="dxa"/>
          </w:tcPr>
          <w:p>
            <w:pPr>
              <w:pStyle w:val="TableParagraph"/>
              <w:spacing w:line="215" w:lineRule="exact" w:before="1"/>
              <w:ind w:left="81"/>
              <w:rPr>
                <w:sz w:val="20"/>
              </w:rPr>
            </w:pPr>
            <w:r>
              <w:rPr>
                <w:spacing w:val="-2"/>
                <w:sz w:val="20"/>
              </w:rPr>
              <w:t>microsphere</w:t>
            </w:r>
          </w:p>
        </w:tc>
        <w:tc>
          <w:tcPr>
            <w:tcW w:w="545" w:type="dxa"/>
          </w:tcPr>
          <w:p>
            <w:pPr>
              <w:pStyle w:val="TableParagraph"/>
              <w:spacing w:line="216" w:lineRule="exact"/>
              <w:ind w:left="5" w:right="42"/>
              <w:jc w:val="center"/>
              <w:rPr>
                <w:sz w:val="21"/>
              </w:rPr>
            </w:pPr>
            <w:r>
              <w:rPr>
                <w:spacing w:val="-5"/>
                <w:sz w:val="21"/>
              </w:rPr>
              <w:t>19</w:t>
            </w:r>
          </w:p>
        </w:tc>
        <w:tc>
          <w:tcPr>
            <w:tcW w:w="661" w:type="dxa"/>
          </w:tcPr>
          <w:p>
            <w:pPr>
              <w:pStyle w:val="TableParagraph"/>
              <w:spacing w:line="216" w:lineRule="exact"/>
              <w:ind w:left="26" w:right="5"/>
              <w:jc w:val="center"/>
              <w:rPr>
                <w:sz w:val="21"/>
              </w:rPr>
            </w:pPr>
            <w:r>
              <w:rPr>
                <w:spacing w:val="-5"/>
                <w:sz w:val="21"/>
              </w:rPr>
              <w:t>44</w:t>
            </w:r>
          </w:p>
        </w:tc>
        <w:tc>
          <w:tcPr>
            <w:tcW w:w="858" w:type="dxa"/>
          </w:tcPr>
          <w:p>
            <w:pPr>
              <w:pStyle w:val="TableParagraph"/>
              <w:spacing w:line="216" w:lineRule="exact"/>
              <w:ind w:left="0" w:right="236"/>
              <w:jc w:val="center"/>
              <w:rPr>
                <w:sz w:val="21"/>
              </w:rPr>
            </w:pPr>
            <w:r>
              <w:rPr>
                <w:spacing w:val="-5"/>
                <w:sz w:val="21"/>
              </w:rPr>
              <w:t>70</w:t>
            </w:r>
          </w:p>
        </w:tc>
        <w:tc>
          <w:tcPr>
            <w:tcW w:w="1120" w:type="dxa"/>
          </w:tcPr>
          <w:p>
            <w:pPr>
              <w:pStyle w:val="TableParagraph"/>
              <w:spacing w:line="216" w:lineRule="exact"/>
              <w:ind w:left="301"/>
              <w:rPr>
                <w:sz w:val="21"/>
              </w:rPr>
            </w:pPr>
            <w:r>
              <w:rPr>
                <w:spacing w:val="-4"/>
                <w:sz w:val="21"/>
              </w:rPr>
              <w:t>1.20</w:t>
            </w:r>
          </w:p>
        </w:tc>
        <w:tc>
          <w:tcPr>
            <w:tcW w:w="1069" w:type="dxa"/>
          </w:tcPr>
          <w:p>
            <w:pPr>
              <w:pStyle w:val="TableParagraph"/>
              <w:spacing w:line="216" w:lineRule="exact"/>
              <w:ind w:left="0" w:right="257"/>
              <w:jc w:val="right"/>
              <w:rPr>
                <w:sz w:val="21"/>
              </w:rPr>
            </w:pPr>
            <w:r>
              <w:rPr>
                <w:spacing w:val="-4"/>
                <w:sz w:val="21"/>
              </w:rPr>
              <w:t>0.28</w:t>
            </w:r>
          </w:p>
        </w:tc>
        <w:tc>
          <w:tcPr>
            <w:tcW w:w="1048" w:type="dxa"/>
          </w:tcPr>
          <w:p>
            <w:pPr>
              <w:pStyle w:val="TableParagraph"/>
              <w:spacing w:line="216" w:lineRule="exact"/>
              <w:ind w:left="50" w:right="10"/>
              <w:jc w:val="center"/>
              <w:rPr>
                <w:sz w:val="21"/>
              </w:rPr>
            </w:pPr>
            <w:r>
              <w:rPr>
                <w:spacing w:val="-5"/>
                <w:sz w:val="21"/>
              </w:rPr>
              <w:t>5.5</w:t>
            </w:r>
          </w:p>
        </w:tc>
      </w:tr>
      <w:tr>
        <w:trPr>
          <w:trHeight w:val="253" w:hRule="atLeast"/>
        </w:trPr>
        <w:tc>
          <w:tcPr>
            <w:tcW w:w="1330" w:type="dxa"/>
            <w:tcBorders>
              <w:bottom w:val="single" w:sz="4" w:space="0" w:color="000000"/>
            </w:tcBorders>
          </w:tcPr>
          <w:p>
            <w:pPr>
              <w:pStyle w:val="TableParagraph"/>
              <w:spacing w:line="224" w:lineRule="exact" w:before="10"/>
              <w:ind w:left="28"/>
              <w:rPr>
                <w:sz w:val="20"/>
              </w:rPr>
            </w:pPr>
            <w:r>
              <w:rPr>
                <w:sz w:val="20"/>
              </w:rPr>
              <w:t>HGM</w:t>
            </w:r>
            <w:r>
              <w:rPr>
                <w:spacing w:val="-8"/>
                <w:sz w:val="20"/>
              </w:rPr>
              <w:t> </w:t>
            </w:r>
            <w:r>
              <w:rPr>
                <w:spacing w:val="-5"/>
                <w:sz w:val="20"/>
              </w:rPr>
              <w:t>S60</w:t>
            </w:r>
          </w:p>
        </w:tc>
        <w:tc>
          <w:tcPr>
            <w:tcW w:w="1687" w:type="dxa"/>
            <w:tcBorders>
              <w:bottom w:val="single" w:sz="4" w:space="0" w:color="000000"/>
            </w:tcBorders>
          </w:tcPr>
          <w:p>
            <w:pPr>
              <w:pStyle w:val="TableParagraph"/>
              <w:ind w:left="81"/>
              <w:rPr>
                <w:sz w:val="20"/>
              </w:rPr>
            </w:pPr>
            <w:r>
              <w:rPr>
                <w:spacing w:val="-2"/>
                <w:sz w:val="20"/>
              </w:rPr>
              <w:t>(HGM)</w:t>
            </w:r>
          </w:p>
        </w:tc>
        <w:tc>
          <w:tcPr>
            <w:tcW w:w="545" w:type="dxa"/>
            <w:tcBorders>
              <w:bottom w:val="single" w:sz="4" w:space="0" w:color="000000"/>
            </w:tcBorders>
          </w:tcPr>
          <w:p>
            <w:pPr>
              <w:pStyle w:val="TableParagraph"/>
              <w:spacing w:line="229" w:lineRule="exact" w:before="5"/>
              <w:ind w:left="5" w:right="42"/>
              <w:jc w:val="center"/>
              <w:rPr>
                <w:sz w:val="21"/>
              </w:rPr>
            </w:pPr>
            <w:r>
              <w:rPr>
                <w:spacing w:val="-5"/>
                <w:sz w:val="21"/>
              </w:rPr>
              <w:t>12</w:t>
            </w:r>
          </w:p>
        </w:tc>
        <w:tc>
          <w:tcPr>
            <w:tcW w:w="661" w:type="dxa"/>
            <w:tcBorders>
              <w:bottom w:val="single" w:sz="4" w:space="0" w:color="000000"/>
            </w:tcBorders>
          </w:tcPr>
          <w:p>
            <w:pPr>
              <w:pStyle w:val="TableParagraph"/>
              <w:spacing w:line="229" w:lineRule="exact" w:before="5"/>
              <w:ind w:left="26" w:right="5"/>
              <w:jc w:val="center"/>
              <w:rPr>
                <w:sz w:val="21"/>
              </w:rPr>
            </w:pPr>
            <w:r>
              <w:rPr>
                <w:spacing w:val="-5"/>
                <w:sz w:val="21"/>
              </w:rPr>
              <w:t>29</w:t>
            </w:r>
          </w:p>
        </w:tc>
        <w:tc>
          <w:tcPr>
            <w:tcW w:w="858" w:type="dxa"/>
            <w:tcBorders>
              <w:bottom w:val="single" w:sz="4" w:space="0" w:color="000000"/>
            </w:tcBorders>
          </w:tcPr>
          <w:p>
            <w:pPr>
              <w:pStyle w:val="TableParagraph"/>
              <w:spacing w:line="229" w:lineRule="exact" w:before="5"/>
              <w:ind w:left="0" w:right="236"/>
              <w:jc w:val="center"/>
              <w:rPr>
                <w:sz w:val="21"/>
              </w:rPr>
            </w:pPr>
            <w:r>
              <w:rPr>
                <w:spacing w:val="-5"/>
                <w:sz w:val="21"/>
              </w:rPr>
              <w:t>48</w:t>
            </w:r>
          </w:p>
        </w:tc>
        <w:tc>
          <w:tcPr>
            <w:tcW w:w="1120" w:type="dxa"/>
            <w:tcBorders>
              <w:bottom w:val="single" w:sz="4" w:space="0" w:color="000000"/>
            </w:tcBorders>
          </w:tcPr>
          <w:p>
            <w:pPr>
              <w:pStyle w:val="TableParagraph"/>
              <w:spacing w:line="229" w:lineRule="exact" w:before="5"/>
              <w:ind w:left="301"/>
              <w:rPr>
                <w:sz w:val="21"/>
              </w:rPr>
            </w:pPr>
            <w:r>
              <w:rPr>
                <w:spacing w:val="-4"/>
                <w:sz w:val="21"/>
              </w:rPr>
              <w:t>1.49</w:t>
            </w:r>
          </w:p>
        </w:tc>
        <w:tc>
          <w:tcPr>
            <w:tcW w:w="1069" w:type="dxa"/>
            <w:tcBorders>
              <w:bottom w:val="single" w:sz="4" w:space="0" w:color="000000"/>
            </w:tcBorders>
          </w:tcPr>
          <w:p>
            <w:pPr>
              <w:pStyle w:val="TableParagraph"/>
              <w:spacing w:line="229" w:lineRule="exact" w:before="5"/>
              <w:ind w:left="0" w:right="257"/>
              <w:jc w:val="right"/>
              <w:rPr>
                <w:sz w:val="21"/>
              </w:rPr>
            </w:pPr>
            <w:r>
              <w:rPr>
                <w:spacing w:val="-4"/>
                <w:sz w:val="21"/>
              </w:rPr>
              <w:t>0.60</w:t>
            </w:r>
          </w:p>
        </w:tc>
        <w:tc>
          <w:tcPr>
            <w:tcW w:w="1048" w:type="dxa"/>
            <w:tcBorders>
              <w:bottom w:val="single" w:sz="4" w:space="0" w:color="000000"/>
            </w:tcBorders>
          </w:tcPr>
          <w:p>
            <w:pPr>
              <w:pStyle w:val="TableParagraph"/>
              <w:spacing w:line="229" w:lineRule="exact" w:before="5"/>
              <w:ind w:left="50" w:right="5"/>
              <w:jc w:val="center"/>
              <w:rPr>
                <w:sz w:val="21"/>
              </w:rPr>
            </w:pPr>
            <w:r>
              <w:rPr>
                <w:spacing w:val="-5"/>
                <w:sz w:val="21"/>
              </w:rPr>
              <w:t>10</w:t>
            </w:r>
          </w:p>
        </w:tc>
      </w:tr>
      <w:tr>
        <w:trPr>
          <w:trHeight w:val="258" w:hRule="atLeast"/>
        </w:trPr>
        <w:tc>
          <w:tcPr>
            <w:tcW w:w="1330" w:type="dxa"/>
            <w:tcBorders>
              <w:top w:val="single" w:sz="4" w:space="0" w:color="000000"/>
            </w:tcBorders>
          </w:tcPr>
          <w:p>
            <w:pPr>
              <w:pStyle w:val="TableParagraph"/>
              <w:ind w:left="28"/>
              <w:rPr>
                <w:sz w:val="20"/>
              </w:rPr>
            </w:pPr>
            <w:r>
              <w:rPr>
                <w:sz w:val="20"/>
              </w:rPr>
              <w:t>FAC</w:t>
            </w:r>
            <w:r>
              <w:rPr>
                <w:spacing w:val="-2"/>
                <w:sz w:val="20"/>
              </w:rPr>
              <w:t> </w:t>
            </w:r>
            <w:r>
              <w:rPr>
                <w:spacing w:val="-4"/>
                <w:sz w:val="20"/>
              </w:rPr>
              <w:t>E106</w:t>
            </w:r>
          </w:p>
        </w:tc>
        <w:tc>
          <w:tcPr>
            <w:tcW w:w="1687" w:type="dxa"/>
            <w:tcBorders>
              <w:top w:val="single" w:sz="4" w:space="0" w:color="000000"/>
            </w:tcBorders>
          </w:tcPr>
          <w:p>
            <w:pPr>
              <w:pStyle w:val="TableParagraph"/>
              <w:spacing w:line="214" w:lineRule="exact" w:before="24"/>
              <w:ind w:left="81"/>
              <w:rPr>
                <w:sz w:val="20"/>
              </w:rPr>
            </w:pPr>
            <w:r>
              <w:rPr>
                <w:sz w:val="20"/>
              </w:rPr>
              <w:t>Fly</w:t>
            </w:r>
            <w:r>
              <w:rPr>
                <w:spacing w:val="-7"/>
                <w:sz w:val="20"/>
              </w:rPr>
              <w:t> </w:t>
            </w:r>
            <w:r>
              <w:rPr>
                <w:sz w:val="20"/>
              </w:rPr>
              <w:t>ash</w:t>
            </w:r>
            <w:r>
              <w:rPr>
                <w:spacing w:val="4"/>
                <w:sz w:val="20"/>
              </w:rPr>
              <w:t> </w:t>
            </w:r>
            <w:r>
              <w:rPr>
                <w:spacing w:val="-2"/>
                <w:sz w:val="20"/>
              </w:rPr>
              <w:t>cenosphere</w:t>
            </w:r>
          </w:p>
        </w:tc>
        <w:tc>
          <w:tcPr>
            <w:tcW w:w="545" w:type="dxa"/>
            <w:tcBorders>
              <w:top w:val="single" w:sz="4" w:space="0" w:color="000000"/>
            </w:tcBorders>
          </w:tcPr>
          <w:p>
            <w:pPr>
              <w:pStyle w:val="TableParagraph"/>
              <w:spacing w:line="232" w:lineRule="exact"/>
              <w:ind w:left="0" w:right="42"/>
              <w:jc w:val="center"/>
              <w:rPr>
                <w:sz w:val="21"/>
              </w:rPr>
            </w:pPr>
            <w:r>
              <w:rPr>
                <w:spacing w:val="-4"/>
                <w:sz w:val="21"/>
              </w:rPr>
              <w:t>42.6</w:t>
            </w:r>
          </w:p>
        </w:tc>
        <w:tc>
          <w:tcPr>
            <w:tcW w:w="661" w:type="dxa"/>
            <w:tcBorders>
              <w:top w:val="single" w:sz="4" w:space="0" w:color="000000"/>
            </w:tcBorders>
          </w:tcPr>
          <w:p>
            <w:pPr>
              <w:pStyle w:val="TableParagraph"/>
              <w:spacing w:line="232" w:lineRule="exact"/>
              <w:ind w:left="26" w:right="9"/>
              <w:jc w:val="center"/>
              <w:rPr>
                <w:sz w:val="21"/>
              </w:rPr>
            </w:pPr>
            <w:r>
              <w:rPr>
                <w:spacing w:val="-4"/>
                <w:sz w:val="21"/>
              </w:rPr>
              <w:t>81.3</w:t>
            </w:r>
          </w:p>
        </w:tc>
        <w:tc>
          <w:tcPr>
            <w:tcW w:w="858" w:type="dxa"/>
            <w:tcBorders>
              <w:top w:val="single" w:sz="4" w:space="0" w:color="000000"/>
            </w:tcBorders>
          </w:tcPr>
          <w:p>
            <w:pPr>
              <w:pStyle w:val="TableParagraph"/>
              <w:spacing w:line="232" w:lineRule="exact"/>
              <w:ind w:left="5" w:right="236"/>
              <w:jc w:val="center"/>
              <w:rPr>
                <w:sz w:val="21"/>
              </w:rPr>
            </w:pPr>
            <w:r>
              <w:rPr>
                <w:spacing w:val="-2"/>
                <w:sz w:val="21"/>
              </w:rPr>
              <w:t>125.2</w:t>
            </w:r>
          </w:p>
        </w:tc>
        <w:tc>
          <w:tcPr>
            <w:tcW w:w="1120" w:type="dxa"/>
            <w:tcBorders>
              <w:top w:val="single" w:sz="4" w:space="0" w:color="000000"/>
            </w:tcBorders>
          </w:tcPr>
          <w:p>
            <w:pPr>
              <w:pStyle w:val="TableParagraph"/>
              <w:spacing w:line="232" w:lineRule="exact"/>
              <w:ind w:left="354"/>
              <w:rPr>
                <w:sz w:val="21"/>
              </w:rPr>
            </w:pPr>
            <w:r>
              <w:rPr>
                <w:spacing w:val="-5"/>
                <w:sz w:val="21"/>
              </w:rPr>
              <w:t>4.8</w:t>
            </w:r>
          </w:p>
        </w:tc>
        <w:tc>
          <w:tcPr>
            <w:tcW w:w="1069" w:type="dxa"/>
            <w:tcBorders>
              <w:top w:val="single" w:sz="4" w:space="0" w:color="000000"/>
            </w:tcBorders>
          </w:tcPr>
          <w:p>
            <w:pPr>
              <w:pStyle w:val="TableParagraph"/>
              <w:spacing w:line="232" w:lineRule="exact"/>
              <w:ind w:left="0" w:right="257"/>
              <w:jc w:val="right"/>
              <w:rPr>
                <w:sz w:val="21"/>
              </w:rPr>
            </w:pPr>
            <w:r>
              <w:rPr>
                <w:spacing w:val="-4"/>
                <w:sz w:val="21"/>
              </w:rPr>
              <w:t>0.91</w:t>
            </w:r>
          </w:p>
        </w:tc>
        <w:tc>
          <w:tcPr>
            <w:tcW w:w="1048" w:type="dxa"/>
            <w:tcBorders>
              <w:top w:val="single" w:sz="4" w:space="0" w:color="000000"/>
            </w:tcBorders>
          </w:tcPr>
          <w:p>
            <w:pPr>
              <w:pStyle w:val="TableParagraph"/>
              <w:spacing w:line="232" w:lineRule="exact"/>
              <w:ind w:left="50"/>
              <w:jc w:val="center"/>
              <w:rPr>
                <w:sz w:val="21"/>
              </w:rPr>
            </w:pPr>
            <w:r>
              <w:rPr>
                <w:sz w:val="21"/>
              </w:rPr>
              <w:t>1.6-</w:t>
            </w:r>
            <w:r>
              <w:rPr>
                <w:spacing w:val="-5"/>
                <w:sz w:val="21"/>
              </w:rPr>
              <w:t>3.2</w:t>
            </w:r>
          </w:p>
        </w:tc>
      </w:tr>
      <w:tr>
        <w:trPr>
          <w:trHeight w:val="254" w:hRule="atLeast"/>
        </w:trPr>
        <w:tc>
          <w:tcPr>
            <w:tcW w:w="1330" w:type="dxa"/>
            <w:tcBorders>
              <w:bottom w:val="single" w:sz="12" w:space="0" w:color="000000"/>
            </w:tcBorders>
          </w:tcPr>
          <w:p>
            <w:pPr>
              <w:pStyle w:val="TableParagraph"/>
              <w:spacing w:line="224" w:lineRule="exact" w:before="11"/>
              <w:ind w:left="28"/>
              <w:rPr>
                <w:sz w:val="20"/>
              </w:rPr>
            </w:pPr>
            <w:r>
              <w:rPr>
                <w:sz w:val="20"/>
              </w:rPr>
              <w:t>FAC</w:t>
            </w:r>
            <w:r>
              <w:rPr>
                <w:spacing w:val="-2"/>
                <w:sz w:val="20"/>
              </w:rPr>
              <w:t> E200/600</w:t>
            </w:r>
          </w:p>
        </w:tc>
        <w:tc>
          <w:tcPr>
            <w:tcW w:w="1687" w:type="dxa"/>
            <w:tcBorders>
              <w:bottom w:val="single" w:sz="12" w:space="0" w:color="000000"/>
            </w:tcBorders>
          </w:tcPr>
          <w:p>
            <w:pPr>
              <w:pStyle w:val="TableParagraph"/>
              <w:spacing w:line="226" w:lineRule="exact"/>
              <w:ind w:left="81"/>
              <w:rPr>
                <w:sz w:val="20"/>
              </w:rPr>
            </w:pPr>
            <w:r>
              <w:rPr>
                <w:spacing w:val="-2"/>
                <w:sz w:val="20"/>
              </w:rPr>
              <w:t>(FAC)</w:t>
            </w:r>
          </w:p>
        </w:tc>
        <w:tc>
          <w:tcPr>
            <w:tcW w:w="545" w:type="dxa"/>
            <w:tcBorders>
              <w:bottom w:val="single" w:sz="12" w:space="0" w:color="000000"/>
            </w:tcBorders>
          </w:tcPr>
          <w:p>
            <w:pPr>
              <w:pStyle w:val="TableParagraph"/>
              <w:spacing w:line="228" w:lineRule="exact" w:before="6"/>
              <w:ind w:left="0" w:right="42"/>
              <w:jc w:val="center"/>
              <w:rPr>
                <w:sz w:val="21"/>
              </w:rPr>
            </w:pPr>
            <w:r>
              <w:rPr>
                <w:spacing w:val="-4"/>
                <w:sz w:val="21"/>
              </w:rPr>
              <w:t>81.3</w:t>
            </w:r>
          </w:p>
        </w:tc>
        <w:tc>
          <w:tcPr>
            <w:tcW w:w="661" w:type="dxa"/>
            <w:tcBorders>
              <w:bottom w:val="single" w:sz="12" w:space="0" w:color="000000"/>
            </w:tcBorders>
          </w:tcPr>
          <w:p>
            <w:pPr>
              <w:pStyle w:val="TableParagraph"/>
              <w:spacing w:line="228" w:lineRule="exact" w:before="6"/>
              <w:ind w:left="26"/>
              <w:jc w:val="center"/>
              <w:rPr>
                <w:sz w:val="21"/>
              </w:rPr>
            </w:pPr>
            <w:r>
              <w:rPr>
                <w:spacing w:val="-2"/>
                <w:sz w:val="21"/>
              </w:rPr>
              <w:t>349.1</w:t>
            </w:r>
          </w:p>
        </w:tc>
        <w:tc>
          <w:tcPr>
            <w:tcW w:w="858" w:type="dxa"/>
            <w:tcBorders>
              <w:bottom w:val="single" w:sz="12" w:space="0" w:color="000000"/>
            </w:tcBorders>
          </w:tcPr>
          <w:p>
            <w:pPr>
              <w:pStyle w:val="TableParagraph"/>
              <w:spacing w:line="228" w:lineRule="exact" w:before="6"/>
              <w:ind w:left="5" w:right="236"/>
              <w:jc w:val="center"/>
              <w:rPr>
                <w:sz w:val="21"/>
              </w:rPr>
            </w:pPr>
            <w:r>
              <w:rPr>
                <w:spacing w:val="-2"/>
                <w:sz w:val="21"/>
              </w:rPr>
              <w:t>457.2</w:t>
            </w:r>
          </w:p>
        </w:tc>
        <w:tc>
          <w:tcPr>
            <w:tcW w:w="1120" w:type="dxa"/>
            <w:tcBorders>
              <w:bottom w:val="single" w:sz="12" w:space="0" w:color="000000"/>
            </w:tcBorders>
          </w:tcPr>
          <w:p>
            <w:pPr>
              <w:pStyle w:val="TableParagraph"/>
              <w:spacing w:line="228" w:lineRule="exact" w:before="6"/>
              <w:ind w:left="301"/>
              <w:rPr>
                <w:sz w:val="21"/>
              </w:rPr>
            </w:pPr>
            <w:r>
              <w:rPr>
                <w:spacing w:val="-4"/>
                <w:sz w:val="21"/>
              </w:rPr>
              <w:t>16.5</w:t>
            </w:r>
          </w:p>
        </w:tc>
        <w:tc>
          <w:tcPr>
            <w:tcW w:w="1069" w:type="dxa"/>
            <w:tcBorders>
              <w:bottom w:val="single" w:sz="12" w:space="0" w:color="000000"/>
            </w:tcBorders>
          </w:tcPr>
          <w:p>
            <w:pPr>
              <w:pStyle w:val="TableParagraph"/>
              <w:spacing w:line="228" w:lineRule="exact" w:before="6"/>
              <w:ind w:left="0" w:right="257"/>
              <w:jc w:val="right"/>
              <w:rPr>
                <w:sz w:val="21"/>
              </w:rPr>
            </w:pPr>
            <w:r>
              <w:rPr>
                <w:spacing w:val="-4"/>
                <w:sz w:val="21"/>
              </w:rPr>
              <w:t>0.82</w:t>
            </w:r>
          </w:p>
        </w:tc>
        <w:tc>
          <w:tcPr>
            <w:tcW w:w="1048" w:type="dxa"/>
            <w:tcBorders>
              <w:bottom w:val="single" w:sz="12" w:space="0" w:color="000000"/>
            </w:tcBorders>
          </w:tcPr>
          <w:p>
            <w:pPr>
              <w:pStyle w:val="TableParagraph"/>
              <w:spacing w:line="228" w:lineRule="exact" w:before="6"/>
              <w:ind w:left="50"/>
              <w:jc w:val="center"/>
              <w:rPr>
                <w:sz w:val="21"/>
              </w:rPr>
            </w:pPr>
            <w:r>
              <w:rPr>
                <w:sz w:val="21"/>
              </w:rPr>
              <w:t>1.6-</w:t>
            </w:r>
            <w:r>
              <w:rPr>
                <w:spacing w:val="-5"/>
                <w:sz w:val="21"/>
              </w:rPr>
              <w:t>3.2</w:t>
            </w:r>
          </w:p>
        </w:tc>
      </w:tr>
    </w:tbl>
    <w:p>
      <w:pPr>
        <w:pStyle w:val="BodyText"/>
        <w:spacing w:before="8"/>
        <w:rPr>
          <w:b/>
          <w:sz w:val="10"/>
        </w:rPr>
      </w:pPr>
    </w:p>
    <w:p>
      <w:pPr>
        <w:pStyle w:val="BodyText"/>
        <w:spacing w:after="0"/>
        <w:rPr>
          <w:b/>
          <w:sz w:val="10"/>
        </w:rPr>
        <w:sectPr>
          <w:type w:val="continuous"/>
          <w:pgSz w:w="12240" w:h="15840"/>
          <w:pgMar w:header="720" w:footer="746" w:top="1340" w:bottom="940" w:left="1440" w:right="1080"/>
        </w:sectPr>
      </w:pPr>
    </w:p>
    <w:p>
      <w:pPr>
        <w:spacing w:before="96"/>
        <w:ind w:left="0" w:right="0" w:firstLine="0"/>
        <w:jc w:val="right"/>
        <w:rPr>
          <w:rFonts w:ascii="Arial"/>
          <w:b/>
          <w:sz w:val="19"/>
        </w:rPr>
      </w:pPr>
      <w:r>
        <w:rPr>
          <w:rFonts w:ascii="Arial"/>
          <w:b/>
          <w:spacing w:val="-5"/>
          <w:sz w:val="19"/>
        </w:rPr>
        <w:t>(a)</w:t>
      </w:r>
    </w:p>
    <w:p>
      <w:pPr>
        <w:spacing w:line="240" w:lineRule="auto" w:before="110"/>
        <w:rPr>
          <w:rFonts w:ascii="Arial"/>
          <w:b/>
          <w:sz w:val="13"/>
        </w:rPr>
      </w:pPr>
      <w:r>
        <w:rPr/>
        <w:br w:type="column"/>
      </w:r>
      <w:r>
        <w:rPr>
          <w:rFonts w:ascii="Arial"/>
          <w:b/>
          <w:sz w:val="13"/>
        </w:rPr>
      </w:r>
    </w:p>
    <w:p>
      <w:pPr>
        <w:spacing w:line="144" w:lineRule="exact" w:before="0"/>
        <w:ind w:left="251" w:right="0" w:firstLine="0"/>
        <w:jc w:val="left"/>
        <w:rPr>
          <w:rFonts w:ascii="Microsoft Sans Serif"/>
          <w:sz w:val="13"/>
        </w:rPr>
      </w:pPr>
      <w:r>
        <w:rPr>
          <w:rFonts w:ascii="Microsoft Sans Serif"/>
          <w:spacing w:val="-5"/>
          <w:w w:val="110"/>
          <w:sz w:val="13"/>
        </w:rPr>
        <w:t>10</w:t>
      </w:r>
    </w:p>
    <w:p>
      <w:pPr>
        <w:spacing w:line="144" w:lineRule="exact" w:before="0"/>
        <w:ind w:left="53" w:right="0" w:firstLine="0"/>
        <w:jc w:val="left"/>
        <w:rPr>
          <w:rFonts w:ascii="Microsoft Sans Serif"/>
          <w:sz w:val="13"/>
        </w:rPr>
      </w:pPr>
      <w:r>
        <w:rPr>
          <w:rFonts w:ascii="Microsoft Sans Serif"/>
          <w:sz w:val="13"/>
        </w:rPr>
        <mc:AlternateContent>
          <mc:Choice Requires="wps">
            <w:drawing>
              <wp:anchor distT="0" distB="0" distL="0" distR="0" allowOverlap="1" layoutInCell="1" locked="0" behindDoc="0" simplePos="0" relativeHeight="15732224">
                <wp:simplePos x="0" y="0"/>
                <wp:positionH relativeFrom="page">
                  <wp:posOffset>1794446</wp:posOffset>
                </wp:positionH>
                <wp:positionV relativeFrom="paragraph">
                  <wp:posOffset>44419</wp:posOffset>
                </wp:positionV>
                <wp:extent cx="2239645" cy="2082164"/>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239645" cy="2082164"/>
                          <a:chExt cx="2239645" cy="2082164"/>
                        </a:xfrm>
                      </wpg:grpSpPr>
                      <pic:pic>
                        <pic:nvPicPr>
                          <pic:cNvPr id="9" name="Image 9"/>
                          <pic:cNvPicPr/>
                        </pic:nvPicPr>
                        <pic:blipFill>
                          <a:blip r:embed="rId10" cstate="print"/>
                          <a:stretch>
                            <a:fillRect/>
                          </a:stretch>
                        </pic:blipFill>
                        <pic:spPr>
                          <a:xfrm>
                            <a:off x="0" y="0"/>
                            <a:ext cx="2239018" cy="2081829"/>
                          </a:xfrm>
                          <a:prstGeom prst="rect">
                            <a:avLst/>
                          </a:prstGeom>
                        </pic:spPr>
                      </pic:pic>
                      <wps:wsp>
                        <wps:cNvPr id="10" name="Textbox 10"/>
                        <wps:cNvSpPr txBox="1"/>
                        <wps:spPr>
                          <a:xfrm>
                            <a:off x="101327" y="107289"/>
                            <a:ext cx="327025" cy="106680"/>
                          </a:xfrm>
                          <a:prstGeom prst="rect">
                            <a:avLst/>
                          </a:prstGeom>
                        </wps:spPr>
                        <wps:txbx>
                          <w:txbxContent>
                            <w:p>
                              <w:pPr>
                                <w:spacing w:line="168" w:lineRule="exact" w:before="0"/>
                                <w:ind w:left="0" w:right="0" w:firstLine="0"/>
                                <w:jc w:val="left"/>
                                <w:rPr>
                                  <w:rFonts w:ascii="Microsoft Sans Serif"/>
                                  <w:sz w:val="15"/>
                                </w:rPr>
                              </w:pPr>
                              <w:r>
                                <w:rPr>
                                  <w:rFonts w:ascii="Microsoft Sans Serif"/>
                                  <w:spacing w:val="-2"/>
                                  <w:w w:val="110"/>
                                  <w:sz w:val="15"/>
                                </w:rPr>
                                <w:t>ES106</w:t>
                              </w:r>
                            </w:p>
                          </w:txbxContent>
                        </wps:txbx>
                        <wps:bodyPr wrap="square" lIns="0" tIns="0" rIns="0" bIns="0" rtlCol="0">
                          <a:noAutofit/>
                        </wps:bodyPr>
                      </wps:wsp>
                      <wps:wsp>
                        <wps:cNvPr id="11" name="Textbox 11"/>
                        <wps:cNvSpPr txBox="1"/>
                        <wps:spPr>
                          <a:xfrm>
                            <a:off x="105055" y="1166935"/>
                            <a:ext cx="530860" cy="106680"/>
                          </a:xfrm>
                          <a:prstGeom prst="rect">
                            <a:avLst/>
                          </a:prstGeom>
                        </wps:spPr>
                        <wps:txbx>
                          <w:txbxContent>
                            <w:p>
                              <w:pPr>
                                <w:spacing w:line="168" w:lineRule="exact" w:before="0"/>
                                <w:ind w:left="0" w:right="0" w:firstLine="0"/>
                                <w:jc w:val="left"/>
                                <w:rPr>
                                  <w:rFonts w:ascii="Microsoft Sans Serif"/>
                                  <w:sz w:val="15"/>
                                </w:rPr>
                              </w:pPr>
                              <w:r>
                                <w:rPr>
                                  <w:rFonts w:ascii="Microsoft Sans Serif"/>
                                  <w:spacing w:val="-2"/>
                                  <w:w w:val="110"/>
                                  <w:sz w:val="15"/>
                                </w:rPr>
                                <w:t>ES200/600</w:t>
                              </w:r>
                            </w:p>
                          </w:txbxContent>
                        </wps:txbx>
                        <wps:bodyPr wrap="square" lIns="0" tIns="0" rIns="0" bIns="0" rtlCol="0">
                          <a:noAutofit/>
                        </wps:bodyPr>
                      </wps:wsp>
                    </wpg:wgp>
                  </a:graphicData>
                </a:graphic>
              </wp:anchor>
            </w:drawing>
          </mc:Choice>
          <mc:Fallback>
            <w:pict>
              <v:group style="position:absolute;margin-left:141.294968pt;margin-top:3.497638pt;width:176.35pt;height:163.95pt;mso-position-horizontal-relative:page;mso-position-vertical-relative:paragraph;z-index:15732224" id="docshapegroup6" coordorigin="2826,70" coordsize="3527,3279">
                <v:shape style="position:absolute;left:2825;top:69;width:3527;height:3279" type="#_x0000_t75" id="docshape7" stroked="false">
                  <v:imagedata r:id="rId10" o:title=""/>
                </v:shape>
                <v:shape style="position:absolute;left:2985;top:238;width:515;height:168" type="#_x0000_t202" id="docshape8" filled="false" stroked="false">
                  <v:textbox inset="0,0,0,0">
                    <w:txbxContent>
                      <w:p>
                        <w:pPr>
                          <w:spacing w:line="168" w:lineRule="exact" w:before="0"/>
                          <w:ind w:left="0" w:right="0" w:firstLine="0"/>
                          <w:jc w:val="left"/>
                          <w:rPr>
                            <w:rFonts w:ascii="Microsoft Sans Serif"/>
                            <w:sz w:val="15"/>
                          </w:rPr>
                        </w:pPr>
                        <w:r>
                          <w:rPr>
                            <w:rFonts w:ascii="Microsoft Sans Serif"/>
                            <w:spacing w:val="-2"/>
                            <w:w w:val="110"/>
                            <w:sz w:val="15"/>
                          </w:rPr>
                          <w:t>ES106</w:t>
                        </w:r>
                      </w:p>
                    </w:txbxContent>
                  </v:textbox>
                  <w10:wrap type="none"/>
                </v:shape>
                <v:shape style="position:absolute;left:2991;top:1907;width:836;height:168" type="#_x0000_t202" id="docshape9" filled="false" stroked="false">
                  <v:textbox inset="0,0,0,0">
                    <w:txbxContent>
                      <w:p>
                        <w:pPr>
                          <w:spacing w:line="168" w:lineRule="exact" w:before="0"/>
                          <w:ind w:left="0" w:right="0" w:firstLine="0"/>
                          <w:jc w:val="left"/>
                          <w:rPr>
                            <w:rFonts w:ascii="Microsoft Sans Serif"/>
                            <w:sz w:val="15"/>
                          </w:rPr>
                        </w:pPr>
                        <w:r>
                          <w:rPr>
                            <w:rFonts w:ascii="Microsoft Sans Serif"/>
                            <w:spacing w:val="-2"/>
                            <w:w w:val="110"/>
                            <w:sz w:val="15"/>
                          </w:rPr>
                          <w:t>ES200/600</w:t>
                        </w:r>
                      </w:p>
                    </w:txbxContent>
                  </v:textbox>
                  <w10:wrap type="none"/>
                </v:shape>
                <w10:wrap type="none"/>
              </v:group>
            </w:pict>
          </mc:Fallback>
        </mc:AlternateContent>
      </w:r>
      <w:r>
        <w:rPr>
          <w:rFonts w:ascii="Microsoft Sans Serif"/>
          <w:spacing w:val="-5"/>
          <w:w w:val="110"/>
          <w:sz w:val="13"/>
        </w:rPr>
        <w:t>6.0</w:t>
      </w:r>
    </w:p>
    <w:p>
      <w:pPr>
        <w:pStyle w:val="BodyText"/>
        <w:spacing w:before="115"/>
        <w:rPr>
          <w:rFonts w:ascii="Microsoft Sans Serif"/>
          <w:sz w:val="13"/>
        </w:rPr>
      </w:pPr>
    </w:p>
    <w:p>
      <w:pPr>
        <w:spacing w:before="0"/>
        <w:ind w:left="53" w:right="0" w:firstLine="0"/>
        <w:jc w:val="left"/>
        <w:rPr>
          <w:rFonts w:ascii="Microsoft Sans Serif"/>
          <w:sz w:val="13"/>
        </w:rPr>
      </w:pPr>
      <w:r>
        <w:rPr>
          <w:rFonts w:ascii="Microsoft Sans Serif"/>
          <w:spacing w:val="-5"/>
          <w:w w:val="110"/>
          <w:sz w:val="13"/>
        </w:rPr>
        <w:t>4.5</w:t>
      </w:r>
    </w:p>
    <w:p>
      <w:pPr>
        <w:pStyle w:val="BodyText"/>
        <w:spacing w:before="114"/>
        <w:rPr>
          <w:rFonts w:ascii="Microsoft Sans Serif"/>
          <w:sz w:val="13"/>
        </w:rPr>
      </w:pPr>
    </w:p>
    <w:p>
      <w:pPr>
        <w:spacing w:before="0"/>
        <w:ind w:left="53" w:right="0" w:firstLine="0"/>
        <w:jc w:val="left"/>
        <w:rPr>
          <w:rFonts w:ascii="Microsoft Sans Serif"/>
          <w:sz w:val="13"/>
        </w:rPr>
      </w:pPr>
      <w:r>
        <w:rPr>
          <w:rFonts w:ascii="Microsoft Sans Serif"/>
          <w:spacing w:val="-5"/>
          <w:w w:val="110"/>
          <w:sz w:val="13"/>
        </w:rPr>
        <w:t>3.0</w:t>
      </w:r>
    </w:p>
    <w:p>
      <w:pPr>
        <w:pStyle w:val="BodyText"/>
        <w:spacing w:before="115"/>
        <w:rPr>
          <w:rFonts w:ascii="Microsoft Sans Serif"/>
          <w:sz w:val="13"/>
        </w:rPr>
      </w:pPr>
    </w:p>
    <w:p>
      <w:pPr>
        <w:spacing w:before="0"/>
        <w:ind w:left="53" w:right="0" w:firstLine="0"/>
        <w:jc w:val="left"/>
        <w:rPr>
          <w:rFonts w:ascii="Microsoft Sans Serif"/>
          <w:sz w:val="13"/>
        </w:rPr>
      </w:pPr>
      <w:r>
        <w:rPr>
          <w:rFonts w:ascii="Microsoft Sans Serif"/>
          <w:spacing w:val="-5"/>
          <w:w w:val="110"/>
          <w:sz w:val="13"/>
        </w:rPr>
        <w:t>1.5</w:t>
      </w:r>
    </w:p>
    <w:p>
      <w:pPr>
        <w:spacing w:line="240" w:lineRule="auto" w:before="112"/>
        <w:rPr>
          <w:rFonts w:ascii="Microsoft Sans Serif"/>
          <w:sz w:val="13"/>
        </w:rPr>
      </w:pPr>
      <w:r>
        <w:rPr/>
        <w:br w:type="column"/>
      </w:r>
      <w:r>
        <w:rPr>
          <w:rFonts w:ascii="Microsoft Sans Serif"/>
          <w:sz w:val="13"/>
        </w:rPr>
      </w:r>
    </w:p>
    <w:p>
      <w:pPr>
        <w:tabs>
          <w:tab w:pos="852" w:val="left" w:leader="none"/>
        </w:tabs>
        <w:spacing w:before="0"/>
        <w:ind w:left="324" w:right="0" w:firstLine="0"/>
        <w:jc w:val="left"/>
        <w:rPr>
          <w:rFonts w:ascii="Microsoft Sans Serif"/>
          <w:sz w:val="13"/>
        </w:rPr>
      </w:pPr>
      <w:r>
        <w:rPr>
          <w:rFonts w:ascii="Microsoft Sans Serif"/>
          <w:sz w:val="13"/>
        </w:rPr>
        <mc:AlternateContent>
          <mc:Choice Requires="wps">
            <w:drawing>
              <wp:anchor distT="0" distB="0" distL="0" distR="0" allowOverlap="1" layoutInCell="1" locked="0" behindDoc="1" simplePos="0" relativeHeight="487008256">
                <wp:simplePos x="0" y="0"/>
                <wp:positionH relativeFrom="page">
                  <wp:posOffset>2134450</wp:posOffset>
                </wp:positionH>
                <wp:positionV relativeFrom="paragraph">
                  <wp:posOffset>396860</wp:posOffset>
                </wp:positionV>
                <wp:extent cx="1270" cy="75247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70" cy="752475"/>
                        </a:xfrm>
                        <a:custGeom>
                          <a:avLst/>
                          <a:gdLst/>
                          <a:ahLst/>
                          <a:cxnLst/>
                          <a:rect l="l" t="t" r="r" b="b"/>
                          <a:pathLst>
                            <a:path w="0" h="752475">
                              <a:moveTo>
                                <a:pt x="0" y="0"/>
                              </a:moveTo>
                              <a:lnTo>
                                <a:pt x="0" y="751872"/>
                              </a:lnTo>
                            </a:path>
                          </a:pathLst>
                        </a:custGeom>
                        <a:ln w="3728">
                          <a:solidFill>
                            <a:srgbClr val="C0C0C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8224" from="168.06694pt,31.248873pt" to="168.06694pt,90.45145pt" stroked="true" strokeweight=".293545pt" strokecolor="#c0c0c0">
                <v:stroke dashstyle="dash"/>
                <w10:wrap type="none"/>
              </v:line>
            </w:pict>
          </mc:Fallback>
        </mc:AlternateContent>
      </w:r>
      <w:r>
        <w:rPr>
          <w:rFonts w:ascii="Microsoft Sans Serif"/>
          <w:spacing w:val="-5"/>
          <w:w w:val="110"/>
          <w:sz w:val="13"/>
        </w:rPr>
        <w:t>20</w:t>
      </w:r>
      <w:r>
        <w:rPr>
          <w:rFonts w:ascii="Microsoft Sans Serif"/>
          <w:sz w:val="13"/>
        </w:rPr>
        <w:tab/>
      </w:r>
      <w:r>
        <w:rPr>
          <w:rFonts w:ascii="Microsoft Sans Serif"/>
          <w:w w:val="110"/>
          <w:sz w:val="13"/>
        </w:rPr>
        <w:t>40</w:t>
      </w:r>
      <w:r>
        <w:rPr>
          <w:rFonts w:ascii="Microsoft Sans Serif"/>
          <w:spacing w:val="35"/>
          <w:w w:val="110"/>
          <w:sz w:val="13"/>
        </w:rPr>
        <w:t>  </w:t>
      </w:r>
      <w:r>
        <w:rPr>
          <w:rFonts w:ascii="Microsoft Sans Serif"/>
          <w:spacing w:val="-5"/>
          <w:w w:val="110"/>
          <w:sz w:val="13"/>
        </w:rPr>
        <w:t>60</w:t>
      </w:r>
    </w:p>
    <w:p>
      <w:pPr>
        <w:spacing w:line="240" w:lineRule="auto" w:before="112"/>
        <w:rPr>
          <w:rFonts w:ascii="Microsoft Sans Serif"/>
          <w:sz w:val="13"/>
        </w:rPr>
      </w:pPr>
      <w:r>
        <w:rPr/>
        <w:br w:type="column"/>
      </w:r>
      <w:r>
        <w:rPr>
          <w:rFonts w:ascii="Microsoft Sans Serif"/>
          <w:sz w:val="13"/>
        </w:rPr>
      </w:r>
    </w:p>
    <w:p>
      <w:pPr>
        <w:spacing w:before="0"/>
        <w:ind w:left="143" w:right="0" w:firstLine="0"/>
        <w:jc w:val="left"/>
        <w:rPr>
          <w:rFonts w:ascii="Microsoft Sans Serif"/>
          <w:sz w:val="13"/>
        </w:rPr>
      </w:pPr>
      <w:r>
        <w:rPr>
          <w:rFonts w:ascii="Microsoft Sans Serif"/>
          <w:spacing w:val="-5"/>
          <w:w w:val="110"/>
          <w:sz w:val="13"/>
        </w:rPr>
        <w:t>100</w:t>
      </w:r>
    </w:p>
    <w:p>
      <w:pPr>
        <w:spacing w:line="240" w:lineRule="auto" w:before="112"/>
        <w:rPr>
          <w:rFonts w:ascii="Microsoft Sans Serif"/>
          <w:sz w:val="13"/>
        </w:rPr>
      </w:pPr>
      <w:r>
        <w:rPr/>
        <w:br w:type="column"/>
      </w:r>
      <w:r>
        <w:rPr>
          <w:rFonts w:ascii="Microsoft Sans Serif"/>
          <w:sz w:val="13"/>
        </w:rPr>
      </w:r>
    </w:p>
    <w:p>
      <w:pPr>
        <w:tabs>
          <w:tab w:pos="770" w:val="left" w:leader="none"/>
        </w:tabs>
        <w:spacing w:before="0"/>
        <w:ind w:left="241" w:right="0" w:firstLine="0"/>
        <w:jc w:val="left"/>
        <w:rPr>
          <w:rFonts w:ascii="Microsoft Sans Serif"/>
          <w:sz w:val="13"/>
        </w:rPr>
      </w:pPr>
      <w:r>
        <w:rPr>
          <w:rFonts w:ascii="Microsoft Sans Serif"/>
          <w:spacing w:val="-5"/>
          <w:w w:val="110"/>
          <w:sz w:val="13"/>
        </w:rPr>
        <w:t>200</w:t>
      </w:r>
      <w:r>
        <w:rPr>
          <w:rFonts w:ascii="Microsoft Sans Serif"/>
          <w:sz w:val="13"/>
        </w:rPr>
        <w:tab/>
      </w:r>
      <w:r>
        <w:rPr>
          <w:rFonts w:ascii="Microsoft Sans Serif"/>
          <w:w w:val="110"/>
          <w:sz w:val="13"/>
        </w:rPr>
        <w:t>400</w:t>
      </w:r>
      <w:r>
        <w:rPr>
          <w:rFonts w:ascii="Microsoft Sans Serif"/>
          <w:spacing w:val="28"/>
          <w:w w:val="110"/>
          <w:sz w:val="13"/>
        </w:rPr>
        <w:t> </w:t>
      </w:r>
      <w:r>
        <w:rPr>
          <w:rFonts w:ascii="Microsoft Sans Serif"/>
          <w:spacing w:val="-5"/>
          <w:w w:val="110"/>
          <w:sz w:val="13"/>
        </w:rPr>
        <w:t>600</w:t>
      </w:r>
    </w:p>
    <w:p>
      <w:pPr>
        <w:spacing w:line="240" w:lineRule="auto" w:before="112"/>
        <w:rPr>
          <w:rFonts w:ascii="Microsoft Sans Serif"/>
          <w:sz w:val="13"/>
        </w:rPr>
      </w:pPr>
      <w:r>
        <w:rPr/>
        <w:br w:type="column"/>
      </w:r>
      <w:r>
        <w:rPr>
          <w:rFonts w:ascii="Microsoft Sans Serif"/>
          <w:sz w:val="13"/>
        </w:rPr>
      </w:r>
    </w:p>
    <w:p>
      <w:pPr>
        <w:spacing w:before="0"/>
        <w:ind w:left="0" w:right="72" w:firstLine="0"/>
        <w:jc w:val="right"/>
        <w:rPr>
          <w:rFonts w:ascii="Microsoft Sans Serif"/>
          <w:sz w:val="13"/>
        </w:rPr>
      </w:pPr>
      <w:r>
        <w:rPr>
          <w:rFonts w:ascii="Microsoft Sans Serif"/>
          <w:spacing w:val="-4"/>
          <w:w w:val="110"/>
          <w:sz w:val="13"/>
        </w:rPr>
        <w:t>1000</w:t>
      </w:r>
    </w:p>
    <w:p>
      <w:pPr>
        <w:pStyle w:val="BodyText"/>
        <w:spacing w:before="10"/>
        <w:rPr>
          <w:rFonts w:ascii="Microsoft Sans Serif"/>
          <w:sz w:val="13"/>
        </w:rPr>
      </w:pPr>
    </w:p>
    <w:p>
      <w:pPr>
        <w:spacing w:before="0"/>
        <w:ind w:left="0" w:right="0" w:firstLine="0"/>
        <w:jc w:val="right"/>
        <w:rPr>
          <w:rFonts w:ascii="Microsoft Sans Serif"/>
          <w:sz w:val="13"/>
        </w:rPr>
      </w:pPr>
      <w:r>
        <w:rPr>
          <w:rFonts w:ascii="Microsoft Sans Serif"/>
          <w:spacing w:val="-5"/>
          <w:w w:val="110"/>
          <w:sz w:val="13"/>
        </w:rPr>
        <w:t>90</w:t>
      </w:r>
    </w:p>
    <w:p>
      <w:pPr>
        <w:pStyle w:val="BodyText"/>
        <w:rPr>
          <w:rFonts w:ascii="Microsoft Sans Serif"/>
          <w:sz w:val="13"/>
        </w:rPr>
      </w:pPr>
    </w:p>
    <w:p>
      <w:pPr>
        <w:pStyle w:val="BodyText"/>
        <w:spacing w:before="51"/>
        <w:rPr>
          <w:rFonts w:ascii="Microsoft Sans Serif"/>
          <w:sz w:val="13"/>
        </w:rPr>
      </w:pPr>
    </w:p>
    <w:p>
      <w:pPr>
        <w:spacing w:before="0"/>
        <w:ind w:left="0" w:right="0" w:firstLine="0"/>
        <w:jc w:val="right"/>
        <w:rPr>
          <w:rFonts w:ascii="Microsoft Sans Serif"/>
          <w:sz w:val="13"/>
        </w:rPr>
      </w:pPr>
      <w:r>
        <w:rPr>
          <w:rFonts w:ascii="Microsoft Sans Serif"/>
          <w:spacing w:val="-5"/>
          <w:w w:val="110"/>
          <w:sz w:val="13"/>
        </w:rPr>
        <w:t>60</w:t>
      </w:r>
    </w:p>
    <w:p>
      <w:pPr>
        <w:pStyle w:val="BodyText"/>
        <w:rPr>
          <w:rFonts w:ascii="Microsoft Sans Serif"/>
          <w:sz w:val="13"/>
        </w:rPr>
      </w:pPr>
    </w:p>
    <w:p>
      <w:pPr>
        <w:pStyle w:val="BodyText"/>
        <w:spacing w:before="48"/>
        <w:rPr>
          <w:rFonts w:ascii="Microsoft Sans Serif"/>
          <w:sz w:val="13"/>
        </w:rPr>
      </w:pPr>
    </w:p>
    <w:p>
      <w:pPr>
        <w:spacing w:before="0"/>
        <w:ind w:left="0" w:right="0" w:firstLine="0"/>
        <w:jc w:val="right"/>
        <w:rPr>
          <w:rFonts w:ascii="Microsoft Sans Serif"/>
          <w:sz w:val="13"/>
        </w:rPr>
      </w:pPr>
      <w:r>
        <w:rPr>
          <w:rFonts w:ascii="Microsoft Sans Serif"/>
          <w:spacing w:val="-5"/>
          <w:w w:val="110"/>
          <w:sz w:val="13"/>
        </w:rPr>
        <w:t>30</w:t>
      </w:r>
    </w:p>
    <w:p>
      <w:pPr>
        <w:spacing w:before="134"/>
        <w:ind w:left="352" w:right="0" w:firstLine="0"/>
        <w:jc w:val="left"/>
        <w:rPr>
          <w:rFonts w:ascii="Arial"/>
          <w:b/>
          <w:sz w:val="19"/>
        </w:rPr>
      </w:pPr>
      <w:r>
        <w:rPr/>
        <w:br w:type="column"/>
      </w:r>
      <w:r>
        <w:rPr>
          <w:rFonts w:ascii="Arial"/>
          <w:b/>
          <w:spacing w:val="-5"/>
          <w:sz w:val="19"/>
        </w:rPr>
        <w:t>(b)</w:t>
      </w:r>
    </w:p>
    <w:p>
      <w:pPr>
        <w:spacing w:after="0"/>
        <w:jc w:val="left"/>
        <w:rPr>
          <w:rFonts w:ascii="Arial"/>
          <w:b/>
          <w:sz w:val="19"/>
        </w:rPr>
        <w:sectPr>
          <w:type w:val="continuous"/>
          <w:pgSz w:w="12240" w:h="15840"/>
          <w:pgMar w:header="720" w:footer="746" w:top="1340" w:bottom="940" w:left="1440" w:right="1080"/>
          <w:cols w:num="7" w:equalWidth="0">
            <w:col w:w="1020" w:space="40"/>
            <w:col w:w="416" w:space="39"/>
            <w:col w:w="1327" w:space="40"/>
            <w:col w:w="391" w:space="39"/>
            <w:col w:w="1327" w:space="40"/>
            <w:col w:w="466" w:space="39"/>
            <w:col w:w="4536"/>
          </w:cols>
        </w:sectPr>
      </w:pPr>
    </w:p>
    <w:p>
      <w:pPr>
        <w:pStyle w:val="BodyText"/>
        <w:spacing w:before="10"/>
        <w:rPr>
          <w:rFonts w:ascii="Arial"/>
          <w:b/>
          <w:sz w:val="13"/>
        </w:rPr>
      </w:pPr>
    </w:p>
    <w:p>
      <w:pPr>
        <w:pStyle w:val="BodyText"/>
        <w:spacing w:after="0"/>
        <w:rPr>
          <w:rFonts w:ascii="Arial"/>
          <w:b/>
          <w:sz w:val="13"/>
        </w:rPr>
        <w:sectPr>
          <w:type w:val="continuous"/>
          <w:pgSz w:w="12240" w:h="15840"/>
          <w:pgMar w:header="720" w:footer="746" w:top="1340" w:bottom="940" w:left="1440" w:right="1080"/>
        </w:sectPr>
      </w:pPr>
    </w:p>
    <w:p>
      <w:pPr>
        <w:spacing w:before="101"/>
        <w:ind w:left="0" w:right="155" w:firstLine="0"/>
        <w:jc w:val="right"/>
        <w:rPr>
          <w:rFonts w:ascii="Microsoft Sans Serif"/>
          <w:sz w:val="13"/>
        </w:rPr>
      </w:pPr>
      <w:r>
        <w:rPr>
          <w:rFonts w:ascii="Microsoft Sans Serif"/>
          <w:sz w:val="13"/>
        </w:rPr>
        <mc:AlternateContent>
          <mc:Choice Requires="wps">
            <w:drawing>
              <wp:anchor distT="0" distB="0" distL="0" distR="0" allowOverlap="1" layoutInCell="1" locked="0" behindDoc="0" simplePos="0" relativeHeight="15733248">
                <wp:simplePos x="0" y="0"/>
                <wp:positionH relativeFrom="page">
                  <wp:posOffset>1381949</wp:posOffset>
                </wp:positionH>
                <wp:positionV relativeFrom="paragraph">
                  <wp:posOffset>-246987</wp:posOffset>
                </wp:positionV>
                <wp:extent cx="155575" cy="5727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5575" cy="572770"/>
                        </a:xfrm>
                        <a:prstGeom prst="rect">
                          <a:avLst/>
                        </a:prstGeom>
                      </wps:spPr>
                      <wps:txbx>
                        <w:txbxContent>
                          <w:p>
                            <w:pPr>
                              <w:spacing w:before="16"/>
                              <w:ind w:left="20" w:right="0" w:firstLine="0"/>
                              <w:jc w:val="left"/>
                              <w:rPr>
                                <w:rFonts w:ascii="Arial"/>
                                <w:b/>
                                <w:sz w:val="18"/>
                              </w:rPr>
                            </w:pPr>
                            <w:r>
                              <w:rPr>
                                <w:rFonts w:ascii="Arial"/>
                                <w:b/>
                                <w:sz w:val="18"/>
                              </w:rPr>
                              <w:t>%</w:t>
                            </w:r>
                            <w:r>
                              <w:rPr>
                                <w:rFonts w:ascii="Arial"/>
                                <w:b/>
                                <w:spacing w:val="3"/>
                                <w:sz w:val="18"/>
                              </w:rPr>
                              <w:t> </w:t>
                            </w:r>
                            <w:r>
                              <w:rPr>
                                <w:rFonts w:ascii="Arial"/>
                                <w:b/>
                                <w:spacing w:val="-2"/>
                                <w:sz w:val="18"/>
                              </w:rPr>
                              <w:t>Volume</w:t>
                            </w:r>
                          </w:p>
                        </w:txbxContent>
                      </wps:txbx>
                      <wps:bodyPr wrap="square" lIns="0" tIns="0" rIns="0" bIns="0" rtlCol="0" vert="vert270">
                        <a:noAutofit/>
                      </wps:bodyPr>
                    </wps:wsp>
                  </a:graphicData>
                </a:graphic>
              </wp:anchor>
            </w:drawing>
          </mc:Choice>
          <mc:Fallback>
            <w:pict>
              <v:shape style="position:absolute;margin-left:108.814896pt;margin-top:-19.447859pt;width:12.25pt;height:45.1pt;mso-position-horizontal-relative:page;mso-position-vertical-relative:paragraph;z-index:15733248" type="#_x0000_t202" id="docshape10" filled="false" stroked="false">
                <v:textbox inset="0,0,0,0" style="layout-flow:vertical;mso-layout-flow-alt:bottom-to-top">
                  <w:txbxContent>
                    <w:p>
                      <w:pPr>
                        <w:spacing w:before="16"/>
                        <w:ind w:left="20" w:right="0" w:firstLine="0"/>
                        <w:jc w:val="left"/>
                        <w:rPr>
                          <w:rFonts w:ascii="Arial"/>
                          <w:b/>
                          <w:sz w:val="18"/>
                        </w:rPr>
                      </w:pPr>
                      <w:r>
                        <w:rPr>
                          <w:rFonts w:ascii="Arial"/>
                          <w:b/>
                          <w:sz w:val="18"/>
                        </w:rPr>
                        <w:t>%</w:t>
                      </w:r>
                      <w:r>
                        <w:rPr>
                          <w:rFonts w:ascii="Arial"/>
                          <w:b/>
                          <w:spacing w:val="3"/>
                          <w:sz w:val="18"/>
                        </w:rPr>
                        <w:t> </w:t>
                      </w:r>
                      <w:r>
                        <w:rPr>
                          <w:rFonts w:ascii="Arial"/>
                          <w:b/>
                          <w:spacing w:val="-2"/>
                          <w:sz w:val="18"/>
                        </w:rPr>
                        <w:t>Volume</w:t>
                      </w:r>
                    </w:p>
                  </w:txbxContent>
                </v:textbox>
                <w10:wrap type="none"/>
              </v:shape>
            </w:pict>
          </mc:Fallback>
        </mc:AlternateContent>
      </w:r>
      <w:r>
        <w:rPr>
          <w:rFonts w:ascii="Microsoft Sans Serif"/>
          <w:spacing w:val="-5"/>
          <w:w w:val="110"/>
          <w:sz w:val="13"/>
        </w:rPr>
        <w:t>0.0</w:t>
      </w:r>
    </w:p>
    <w:p>
      <w:pPr>
        <w:pStyle w:val="BodyText"/>
        <w:spacing w:before="110"/>
        <w:rPr>
          <w:rFonts w:ascii="Microsoft Sans Serif"/>
          <w:sz w:val="13"/>
        </w:rPr>
      </w:pPr>
    </w:p>
    <w:p>
      <w:pPr>
        <w:spacing w:before="0"/>
        <w:ind w:left="0" w:right="155" w:firstLine="0"/>
        <w:jc w:val="right"/>
        <w:rPr>
          <w:rFonts w:ascii="Microsoft Sans Serif"/>
          <w:sz w:val="13"/>
        </w:rPr>
      </w:pPr>
      <w:r>
        <w:rPr>
          <w:rFonts w:ascii="Microsoft Sans Serif"/>
          <w:spacing w:val="-10"/>
          <w:w w:val="110"/>
          <w:sz w:val="13"/>
        </w:rPr>
        <w:t>9</w:t>
      </w:r>
    </w:p>
    <w:p>
      <w:pPr>
        <w:pStyle w:val="BodyText"/>
        <w:spacing w:before="116"/>
        <w:rPr>
          <w:rFonts w:ascii="Microsoft Sans Serif"/>
          <w:sz w:val="13"/>
        </w:rPr>
      </w:pPr>
    </w:p>
    <w:p>
      <w:pPr>
        <w:spacing w:before="0"/>
        <w:ind w:left="0" w:right="155" w:firstLine="0"/>
        <w:jc w:val="right"/>
        <w:rPr>
          <w:rFonts w:ascii="Microsoft Sans Serif"/>
          <w:sz w:val="13"/>
        </w:rPr>
      </w:pPr>
      <w:r>
        <w:rPr>
          <w:rFonts w:ascii="Microsoft Sans Serif"/>
          <w:spacing w:val="-10"/>
          <w:w w:val="110"/>
          <w:sz w:val="13"/>
        </w:rPr>
        <w:t>6</w:t>
      </w:r>
    </w:p>
    <w:p>
      <w:pPr>
        <w:pStyle w:val="BodyText"/>
        <w:spacing w:before="113"/>
        <w:rPr>
          <w:rFonts w:ascii="Microsoft Sans Serif"/>
          <w:sz w:val="13"/>
        </w:rPr>
      </w:pPr>
    </w:p>
    <w:p>
      <w:pPr>
        <w:spacing w:before="0"/>
        <w:ind w:left="0" w:right="155" w:firstLine="0"/>
        <w:jc w:val="right"/>
        <w:rPr>
          <w:rFonts w:ascii="Microsoft Sans Serif"/>
          <w:sz w:val="13"/>
        </w:rPr>
      </w:pPr>
      <w:r>
        <w:rPr>
          <w:rFonts w:ascii="Microsoft Sans Serif"/>
          <w:spacing w:val="-10"/>
          <w:w w:val="110"/>
          <w:sz w:val="13"/>
        </w:rPr>
        <w:t>3</w:t>
      </w:r>
    </w:p>
    <w:p>
      <w:pPr>
        <w:pStyle w:val="BodyText"/>
        <w:spacing w:before="115"/>
        <w:rPr>
          <w:rFonts w:ascii="Microsoft Sans Serif"/>
          <w:sz w:val="13"/>
        </w:rPr>
      </w:pPr>
    </w:p>
    <w:p>
      <w:pPr>
        <w:spacing w:line="140" w:lineRule="exact" w:before="1"/>
        <w:ind w:left="1236" w:right="0" w:firstLine="0"/>
        <w:jc w:val="left"/>
        <w:rPr>
          <w:rFonts w:ascii="Microsoft Sans Serif"/>
          <w:sz w:val="13"/>
        </w:rPr>
      </w:pPr>
      <w:r>
        <w:rPr>
          <w:rFonts w:ascii="Microsoft Sans Serif"/>
          <w:spacing w:val="-10"/>
          <w:w w:val="110"/>
          <w:sz w:val="13"/>
        </w:rPr>
        <w:t>0</w:t>
      </w:r>
    </w:p>
    <w:p>
      <w:pPr>
        <w:spacing w:line="140" w:lineRule="exact" w:before="0"/>
        <w:ind w:left="1310" w:right="0" w:firstLine="0"/>
        <w:jc w:val="left"/>
        <w:rPr>
          <w:rFonts w:ascii="Microsoft Sans Serif"/>
          <w:sz w:val="13"/>
        </w:rPr>
      </w:pPr>
      <w:r>
        <w:rPr>
          <w:rFonts w:ascii="Microsoft Sans Serif"/>
          <w:spacing w:val="-5"/>
          <w:w w:val="110"/>
          <w:sz w:val="13"/>
        </w:rPr>
        <w:t>10</w:t>
      </w:r>
    </w:p>
    <w:p>
      <w:pPr>
        <w:spacing w:line="240" w:lineRule="auto" w:before="0"/>
        <w:rPr>
          <w:rFonts w:ascii="Microsoft Sans Serif"/>
          <w:sz w:val="13"/>
        </w:rPr>
      </w:pPr>
      <w:r>
        <w:rPr/>
        <w:br w:type="column"/>
      </w:r>
      <w:r>
        <w:rPr>
          <w:rFonts w:ascii="Microsoft Sans Serif"/>
          <w:sz w:val="13"/>
        </w:rPr>
      </w: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spacing w:before="99"/>
        <w:rPr>
          <w:rFonts w:ascii="Microsoft Sans Serif"/>
          <w:sz w:val="13"/>
        </w:rPr>
      </w:pPr>
    </w:p>
    <w:p>
      <w:pPr>
        <w:tabs>
          <w:tab w:pos="852" w:val="left" w:leader="none"/>
        </w:tabs>
        <w:spacing w:before="0"/>
        <w:ind w:left="324" w:right="0" w:firstLine="0"/>
        <w:jc w:val="left"/>
        <w:rPr>
          <w:rFonts w:ascii="Microsoft Sans Serif"/>
          <w:sz w:val="13"/>
        </w:rPr>
      </w:pPr>
      <w:r>
        <w:rPr>
          <w:rFonts w:ascii="Microsoft Sans Serif"/>
          <w:spacing w:val="-5"/>
          <w:w w:val="110"/>
          <w:sz w:val="13"/>
        </w:rPr>
        <w:t>20</w:t>
      </w:r>
      <w:r>
        <w:rPr>
          <w:rFonts w:ascii="Microsoft Sans Serif"/>
          <w:sz w:val="13"/>
        </w:rPr>
        <w:tab/>
      </w:r>
      <w:r>
        <w:rPr>
          <w:rFonts w:ascii="Microsoft Sans Serif"/>
          <w:w w:val="110"/>
          <w:sz w:val="13"/>
        </w:rPr>
        <w:t>40</w:t>
      </w:r>
      <w:r>
        <w:rPr>
          <w:rFonts w:ascii="Microsoft Sans Serif"/>
          <w:spacing w:val="35"/>
          <w:w w:val="110"/>
          <w:sz w:val="13"/>
        </w:rPr>
        <w:t>  </w:t>
      </w:r>
      <w:r>
        <w:rPr>
          <w:rFonts w:ascii="Microsoft Sans Serif"/>
          <w:spacing w:val="-5"/>
          <w:w w:val="110"/>
          <w:sz w:val="13"/>
        </w:rPr>
        <w:t>60</w:t>
      </w:r>
    </w:p>
    <w:p>
      <w:pPr>
        <w:spacing w:line="240" w:lineRule="auto" w:before="0"/>
        <w:rPr>
          <w:rFonts w:ascii="Microsoft Sans Serif"/>
          <w:sz w:val="13"/>
        </w:rPr>
      </w:pPr>
      <w:r>
        <w:rPr/>
        <w:br w:type="column"/>
      </w:r>
      <w:r>
        <w:rPr>
          <w:rFonts w:ascii="Microsoft Sans Serif"/>
          <w:sz w:val="13"/>
        </w:rPr>
      </w: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spacing w:before="99"/>
        <w:rPr>
          <w:rFonts w:ascii="Microsoft Sans Serif"/>
          <w:sz w:val="13"/>
        </w:rPr>
      </w:pPr>
    </w:p>
    <w:p>
      <w:pPr>
        <w:spacing w:before="0"/>
        <w:ind w:left="143" w:right="0" w:firstLine="0"/>
        <w:jc w:val="left"/>
        <w:rPr>
          <w:rFonts w:ascii="Microsoft Sans Serif"/>
          <w:sz w:val="13"/>
        </w:rPr>
      </w:pPr>
      <w:r>
        <w:rPr>
          <w:rFonts w:ascii="Microsoft Sans Serif"/>
          <w:spacing w:val="-5"/>
          <w:w w:val="110"/>
          <w:sz w:val="13"/>
        </w:rPr>
        <w:t>100</w:t>
      </w:r>
    </w:p>
    <w:p>
      <w:pPr>
        <w:spacing w:line="240" w:lineRule="auto" w:before="0"/>
        <w:rPr>
          <w:rFonts w:ascii="Microsoft Sans Serif"/>
          <w:sz w:val="13"/>
        </w:rPr>
      </w:pPr>
      <w:r>
        <w:rPr/>
        <w:br w:type="column"/>
      </w:r>
      <w:r>
        <w:rPr>
          <w:rFonts w:ascii="Microsoft Sans Serif"/>
          <w:sz w:val="13"/>
        </w:rPr>
      </w: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rPr>
          <w:rFonts w:ascii="Microsoft Sans Serif"/>
          <w:sz w:val="13"/>
        </w:rPr>
      </w:pPr>
    </w:p>
    <w:p>
      <w:pPr>
        <w:pStyle w:val="BodyText"/>
        <w:spacing w:before="99"/>
        <w:rPr>
          <w:rFonts w:ascii="Microsoft Sans Serif"/>
          <w:sz w:val="13"/>
        </w:rPr>
      </w:pPr>
    </w:p>
    <w:p>
      <w:pPr>
        <w:tabs>
          <w:tab w:pos="770" w:val="left" w:leader="none"/>
        </w:tabs>
        <w:spacing w:before="0"/>
        <w:ind w:left="241" w:right="0" w:firstLine="0"/>
        <w:jc w:val="left"/>
        <w:rPr>
          <w:rFonts w:ascii="Microsoft Sans Serif"/>
          <w:sz w:val="13"/>
        </w:rPr>
      </w:pPr>
      <w:r>
        <w:rPr>
          <w:rFonts w:ascii="Microsoft Sans Serif"/>
          <w:sz w:val="13"/>
        </w:rPr>
        <mc:AlternateContent>
          <mc:Choice Requires="wps">
            <w:drawing>
              <wp:anchor distT="0" distB="0" distL="0" distR="0" allowOverlap="1" layoutInCell="1" locked="0" behindDoc="1" simplePos="0" relativeHeight="487006720">
                <wp:simplePos x="0" y="0"/>
                <wp:positionH relativeFrom="page">
                  <wp:posOffset>3856300</wp:posOffset>
                </wp:positionH>
                <wp:positionV relativeFrom="paragraph">
                  <wp:posOffset>-1051305</wp:posOffset>
                </wp:positionV>
                <wp:extent cx="1270" cy="988694"/>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270" cy="988694"/>
                        </a:xfrm>
                        <a:custGeom>
                          <a:avLst/>
                          <a:gdLst/>
                          <a:ahLst/>
                          <a:cxnLst/>
                          <a:rect l="l" t="t" r="r" b="b"/>
                          <a:pathLst>
                            <a:path w="0" h="988694">
                              <a:moveTo>
                                <a:pt x="0" y="0"/>
                              </a:moveTo>
                              <a:lnTo>
                                <a:pt x="0" y="988115"/>
                              </a:lnTo>
                            </a:path>
                          </a:pathLst>
                        </a:custGeom>
                        <a:ln w="3728">
                          <a:solidFill>
                            <a:srgbClr val="C0C0C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9760" from="303.645691pt,-82.779999pt" to="303.645691pt,-4.975665pt" stroked="true" strokeweight=".293545pt" strokecolor="#c0c0c0">
                <v:stroke dashstyle="dash"/>
                <w10:wrap type="none"/>
              </v:line>
            </w:pict>
          </mc:Fallback>
        </mc:AlternateContent>
      </w:r>
      <w:r>
        <w:rPr>
          <w:rFonts w:ascii="Microsoft Sans Serif"/>
          <w:spacing w:val="-5"/>
          <w:w w:val="110"/>
          <w:sz w:val="13"/>
        </w:rPr>
        <w:t>200</w:t>
      </w:r>
      <w:r>
        <w:rPr>
          <w:rFonts w:ascii="Microsoft Sans Serif"/>
          <w:sz w:val="13"/>
        </w:rPr>
        <w:tab/>
      </w:r>
      <w:r>
        <w:rPr>
          <w:rFonts w:ascii="Microsoft Sans Serif"/>
          <w:w w:val="110"/>
          <w:sz w:val="13"/>
        </w:rPr>
        <w:t>400</w:t>
      </w:r>
      <w:r>
        <w:rPr>
          <w:rFonts w:ascii="Microsoft Sans Serif"/>
          <w:spacing w:val="28"/>
          <w:w w:val="110"/>
          <w:sz w:val="13"/>
        </w:rPr>
        <w:t> </w:t>
      </w:r>
      <w:r>
        <w:rPr>
          <w:rFonts w:ascii="Microsoft Sans Serif"/>
          <w:spacing w:val="-5"/>
          <w:w w:val="110"/>
          <w:sz w:val="13"/>
        </w:rPr>
        <w:t>600</w:t>
      </w:r>
    </w:p>
    <w:p>
      <w:pPr>
        <w:spacing w:before="101"/>
        <w:ind w:left="300" w:right="0" w:firstLine="0"/>
        <w:jc w:val="left"/>
        <w:rPr>
          <w:rFonts w:ascii="Microsoft Sans Serif"/>
          <w:sz w:val="13"/>
        </w:rPr>
      </w:pPr>
      <w:r>
        <w:rPr/>
        <w:br w:type="column"/>
      </w:r>
      <w:r>
        <w:rPr>
          <w:rFonts w:ascii="Microsoft Sans Serif"/>
          <w:spacing w:val="-10"/>
          <w:w w:val="110"/>
          <w:sz w:val="13"/>
        </w:rPr>
        <w:t>0</w:t>
      </w:r>
    </w:p>
    <w:p>
      <w:pPr>
        <w:spacing w:before="13"/>
        <w:ind w:left="300" w:right="0" w:firstLine="0"/>
        <w:jc w:val="left"/>
        <w:rPr>
          <w:rFonts w:ascii="Microsoft Sans Serif"/>
          <w:sz w:val="13"/>
        </w:rPr>
      </w:pPr>
      <w:r>
        <w:rPr>
          <w:rFonts w:ascii="Microsoft Sans Serif"/>
          <w:sz w:val="13"/>
        </w:rPr>
        <mc:AlternateContent>
          <mc:Choice Requires="wps">
            <w:drawing>
              <wp:anchor distT="0" distB="0" distL="0" distR="0" allowOverlap="1" layoutInCell="1" locked="0" behindDoc="1" simplePos="0" relativeHeight="487007232">
                <wp:simplePos x="0" y="0"/>
                <wp:positionH relativeFrom="page">
                  <wp:posOffset>3920952</wp:posOffset>
                </wp:positionH>
                <wp:positionV relativeFrom="paragraph">
                  <wp:posOffset>-24812</wp:posOffset>
                </wp:positionV>
                <wp:extent cx="1270" cy="988694"/>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270" cy="988694"/>
                        </a:xfrm>
                        <a:custGeom>
                          <a:avLst/>
                          <a:gdLst/>
                          <a:ahLst/>
                          <a:cxnLst/>
                          <a:rect l="l" t="t" r="r" b="b"/>
                          <a:pathLst>
                            <a:path w="0" h="988694">
                              <a:moveTo>
                                <a:pt x="0" y="0"/>
                              </a:moveTo>
                              <a:lnTo>
                                <a:pt x="0" y="988115"/>
                              </a:lnTo>
                            </a:path>
                          </a:pathLst>
                        </a:custGeom>
                        <a:ln w="3728">
                          <a:solidFill>
                            <a:srgbClr val="C0C0C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9248" from="308.73642pt,-1.953731pt" to="308.73642pt,75.850602pt" stroked="true" strokeweight=".293545pt" strokecolor="#c0c0c0">
                <v:stroke dashstyle="dash"/>
                <w10:wrap type="none"/>
              </v:line>
            </w:pict>
          </mc:Fallback>
        </mc:AlternateContent>
      </w:r>
      <w:r>
        <w:rPr>
          <w:rFonts w:ascii="Microsoft Sans Serif"/>
          <w:sz w:val="13"/>
        </w:rPr>
        <mc:AlternateContent>
          <mc:Choice Requires="wps">
            <w:drawing>
              <wp:anchor distT="0" distB="0" distL="0" distR="0" allowOverlap="1" layoutInCell="1" locked="0" behindDoc="1" simplePos="0" relativeHeight="487007744">
                <wp:simplePos x="0" y="0"/>
                <wp:positionH relativeFrom="page">
                  <wp:posOffset>3978115</wp:posOffset>
                </wp:positionH>
                <wp:positionV relativeFrom="paragraph">
                  <wp:posOffset>-24812</wp:posOffset>
                </wp:positionV>
                <wp:extent cx="1270" cy="988694"/>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270" cy="988694"/>
                        </a:xfrm>
                        <a:custGeom>
                          <a:avLst/>
                          <a:gdLst/>
                          <a:ahLst/>
                          <a:cxnLst/>
                          <a:rect l="l" t="t" r="r" b="b"/>
                          <a:pathLst>
                            <a:path w="0" h="988694">
                              <a:moveTo>
                                <a:pt x="0" y="0"/>
                              </a:moveTo>
                              <a:lnTo>
                                <a:pt x="0" y="988115"/>
                              </a:lnTo>
                            </a:path>
                          </a:pathLst>
                        </a:custGeom>
                        <a:ln w="3728">
                          <a:solidFill>
                            <a:srgbClr val="C0C0C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8736" from="313.237457pt,-1.953731pt" to="313.237457pt,75.850602pt" stroked="true" strokeweight=".293545pt" strokecolor="#c0c0c0">
                <v:stroke dashstyle="dash"/>
                <w10:wrap type="none"/>
              </v:line>
            </w:pict>
          </mc:Fallback>
        </mc:AlternateContent>
      </w:r>
      <w:r>
        <w:rPr>
          <w:rFonts w:ascii="Microsoft Sans Serif"/>
          <w:sz w:val="13"/>
        </w:rPr>
        <mc:AlternateContent>
          <mc:Choice Requires="wps">
            <w:drawing>
              <wp:anchor distT="0" distB="0" distL="0" distR="0" allowOverlap="1" layoutInCell="1" locked="0" behindDoc="0" simplePos="0" relativeHeight="15733760">
                <wp:simplePos x="0" y="0"/>
                <wp:positionH relativeFrom="page">
                  <wp:posOffset>4198953</wp:posOffset>
                </wp:positionH>
                <wp:positionV relativeFrom="paragraph">
                  <wp:posOffset>-824396</wp:posOffset>
                </wp:positionV>
                <wp:extent cx="155575" cy="14217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5575" cy="1421765"/>
                        </a:xfrm>
                        <a:prstGeom prst="rect">
                          <a:avLst/>
                        </a:prstGeom>
                      </wps:spPr>
                      <wps:txbx>
                        <w:txbxContent>
                          <w:p>
                            <w:pPr>
                              <w:spacing w:before="16"/>
                              <w:ind w:left="20" w:right="0" w:firstLine="0"/>
                              <w:jc w:val="left"/>
                              <w:rPr>
                                <w:rFonts w:ascii="Arial"/>
                                <w:b/>
                                <w:sz w:val="18"/>
                              </w:rPr>
                            </w:pPr>
                            <w:r>
                              <w:rPr>
                                <w:rFonts w:ascii="Arial"/>
                                <w:b/>
                                <w:sz w:val="18"/>
                              </w:rPr>
                              <w:t>Accumulative</w:t>
                            </w:r>
                            <w:r>
                              <w:rPr>
                                <w:rFonts w:ascii="Arial"/>
                                <w:b/>
                                <w:spacing w:val="-6"/>
                                <w:sz w:val="18"/>
                              </w:rPr>
                              <w:t> </w:t>
                            </w:r>
                            <w:r>
                              <w:rPr>
                                <w:rFonts w:ascii="Arial"/>
                                <w:b/>
                                <w:sz w:val="18"/>
                              </w:rPr>
                              <w:t>Volume</w:t>
                            </w:r>
                            <w:r>
                              <w:rPr>
                                <w:rFonts w:ascii="Arial"/>
                                <w:b/>
                                <w:spacing w:val="-6"/>
                                <w:sz w:val="18"/>
                              </w:rPr>
                              <w:t> </w:t>
                            </w:r>
                            <w:r>
                              <w:rPr>
                                <w:rFonts w:ascii="Arial"/>
                                <w:b/>
                                <w:spacing w:val="-5"/>
                                <w:sz w:val="18"/>
                              </w:rPr>
                              <w:t>(%)</w:t>
                            </w:r>
                          </w:p>
                        </w:txbxContent>
                      </wps:txbx>
                      <wps:bodyPr wrap="square" lIns="0" tIns="0" rIns="0" bIns="0" rtlCol="0" vert="vert270">
                        <a:noAutofit/>
                      </wps:bodyPr>
                    </wps:wsp>
                  </a:graphicData>
                </a:graphic>
              </wp:anchor>
            </w:drawing>
          </mc:Choice>
          <mc:Fallback>
            <w:pict>
              <v:shape style="position:absolute;margin-left:330.626282pt;margin-top:-64.913116pt;width:12.25pt;height:111.95pt;mso-position-horizontal-relative:page;mso-position-vertical-relative:paragraph;z-index:15733760" type="#_x0000_t202" id="docshape11" filled="false" stroked="false">
                <v:textbox inset="0,0,0,0" style="layout-flow:vertical;mso-layout-flow-alt:bottom-to-top">
                  <w:txbxContent>
                    <w:p>
                      <w:pPr>
                        <w:spacing w:before="16"/>
                        <w:ind w:left="20" w:right="0" w:firstLine="0"/>
                        <w:jc w:val="left"/>
                        <w:rPr>
                          <w:rFonts w:ascii="Arial"/>
                          <w:b/>
                          <w:sz w:val="18"/>
                        </w:rPr>
                      </w:pPr>
                      <w:r>
                        <w:rPr>
                          <w:rFonts w:ascii="Arial"/>
                          <w:b/>
                          <w:sz w:val="18"/>
                        </w:rPr>
                        <w:t>Accumulative</w:t>
                      </w:r>
                      <w:r>
                        <w:rPr>
                          <w:rFonts w:ascii="Arial"/>
                          <w:b/>
                          <w:spacing w:val="-6"/>
                          <w:sz w:val="18"/>
                        </w:rPr>
                        <w:t> </w:t>
                      </w:r>
                      <w:r>
                        <w:rPr>
                          <w:rFonts w:ascii="Arial"/>
                          <w:b/>
                          <w:sz w:val="18"/>
                        </w:rPr>
                        <w:t>Volume</w:t>
                      </w:r>
                      <w:r>
                        <w:rPr>
                          <w:rFonts w:ascii="Arial"/>
                          <w:b/>
                          <w:spacing w:val="-6"/>
                          <w:sz w:val="18"/>
                        </w:rPr>
                        <w:t> </w:t>
                      </w:r>
                      <w:r>
                        <w:rPr>
                          <w:rFonts w:ascii="Arial"/>
                          <w:b/>
                          <w:spacing w:val="-5"/>
                          <w:sz w:val="18"/>
                        </w:rPr>
                        <w:t>(%)</w:t>
                      </w:r>
                    </w:p>
                  </w:txbxContent>
                </v:textbox>
                <w10:wrap type="none"/>
              </v:shape>
            </w:pict>
          </mc:Fallback>
        </mc:AlternateContent>
      </w:r>
      <w:r>
        <w:rPr>
          <w:rFonts w:ascii="Microsoft Sans Serif"/>
          <w:spacing w:val="-5"/>
          <w:w w:val="110"/>
          <w:sz w:val="13"/>
        </w:rPr>
        <w:t>90</w:t>
      </w:r>
    </w:p>
    <w:p>
      <w:pPr>
        <w:pStyle w:val="BodyText"/>
        <w:rPr>
          <w:rFonts w:ascii="Microsoft Sans Serif"/>
          <w:sz w:val="13"/>
        </w:rPr>
      </w:pPr>
    </w:p>
    <w:p>
      <w:pPr>
        <w:pStyle w:val="BodyText"/>
        <w:spacing w:before="50"/>
        <w:rPr>
          <w:rFonts w:ascii="Microsoft Sans Serif"/>
          <w:sz w:val="13"/>
        </w:rPr>
      </w:pPr>
    </w:p>
    <w:p>
      <w:pPr>
        <w:spacing w:before="0"/>
        <w:ind w:left="300" w:right="0" w:firstLine="0"/>
        <w:jc w:val="left"/>
        <w:rPr>
          <w:rFonts w:ascii="Microsoft Sans Serif"/>
          <w:sz w:val="13"/>
        </w:rPr>
      </w:pPr>
      <w:r>
        <w:rPr>
          <w:rFonts w:ascii="Microsoft Sans Serif"/>
          <w:spacing w:val="-5"/>
          <w:w w:val="110"/>
          <w:sz w:val="13"/>
        </w:rPr>
        <w:t>60</w:t>
      </w:r>
    </w:p>
    <w:p>
      <w:pPr>
        <w:pStyle w:val="BodyText"/>
        <w:rPr>
          <w:rFonts w:ascii="Microsoft Sans Serif"/>
          <w:sz w:val="13"/>
        </w:rPr>
      </w:pPr>
    </w:p>
    <w:p>
      <w:pPr>
        <w:pStyle w:val="BodyText"/>
        <w:spacing w:before="48"/>
        <w:rPr>
          <w:rFonts w:ascii="Microsoft Sans Serif"/>
          <w:sz w:val="13"/>
        </w:rPr>
      </w:pPr>
    </w:p>
    <w:p>
      <w:pPr>
        <w:spacing w:before="1"/>
        <w:ind w:left="300" w:right="0" w:firstLine="0"/>
        <w:jc w:val="left"/>
        <w:rPr>
          <w:rFonts w:ascii="Microsoft Sans Serif"/>
          <w:sz w:val="13"/>
        </w:rPr>
      </w:pPr>
      <w:r>
        <w:rPr>
          <w:rFonts w:ascii="Microsoft Sans Serif"/>
          <w:spacing w:val="-5"/>
          <w:w w:val="110"/>
          <w:sz w:val="13"/>
        </w:rPr>
        <w:t>30</w:t>
      </w:r>
    </w:p>
    <w:p>
      <w:pPr>
        <w:pStyle w:val="BodyText"/>
        <w:rPr>
          <w:rFonts w:ascii="Microsoft Sans Serif"/>
          <w:sz w:val="13"/>
        </w:rPr>
      </w:pPr>
    </w:p>
    <w:p>
      <w:pPr>
        <w:pStyle w:val="BodyText"/>
        <w:spacing w:before="48"/>
        <w:rPr>
          <w:rFonts w:ascii="Microsoft Sans Serif"/>
          <w:sz w:val="13"/>
        </w:rPr>
      </w:pPr>
    </w:p>
    <w:p>
      <w:pPr>
        <w:spacing w:line="140" w:lineRule="exact" w:before="0"/>
        <w:ind w:left="0" w:right="4656" w:firstLine="0"/>
        <w:jc w:val="right"/>
        <w:rPr>
          <w:rFonts w:ascii="Microsoft Sans Serif"/>
          <w:sz w:val="13"/>
        </w:rPr>
      </w:pPr>
      <w:r>
        <w:rPr>
          <w:rFonts w:ascii="Microsoft Sans Serif"/>
          <w:spacing w:val="-10"/>
          <w:w w:val="110"/>
          <w:sz w:val="13"/>
        </w:rPr>
        <w:t>0</w:t>
      </w:r>
    </w:p>
    <w:p>
      <w:pPr>
        <w:spacing w:line="140" w:lineRule="exact" w:before="0"/>
        <w:ind w:left="0" w:right="4648" w:firstLine="0"/>
        <w:jc w:val="right"/>
        <w:rPr>
          <w:rFonts w:ascii="Microsoft Sans Serif"/>
          <w:sz w:val="13"/>
        </w:rPr>
      </w:pPr>
      <w:r>
        <w:rPr>
          <w:rFonts w:ascii="Microsoft Sans Serif"/>
          <w:spacing w:val="-4"/>
          <w:w w:val="110"/>
          <w:sz w:val="13"/>
        </w:rPr>
        <w:t>1000</w:t>
      </w:r>
    </w:p>
    <w:p>
      <w:pPr>
        <w:spacing w:after="0" w:line="140" w:lineRule="exact"/>
        <w:jc w:val="right"/>
        <w:rPr>
          <w:rFonts w:ascii="Microsoft Sans Serif"/>
          <w:sz w:val="13"/>
        </w:rPr>
        <w:sectPr>
          <w:type w:val="continuous"/>
          <w:pgSz w:w="12240" w:h="15840"/>
          <w:pgMar w:header="720" w:footer="746" w:top="1340" w:bottom="940" w:left="1440" w:right="1080"/>
          <w:cols w:num="5" w:equalWidth="0">
            <w:col w:w="1476" w:space="40"/>
            <w:col w:w="1327" w:space="39"/>
            <w:col w:w="391" w:space="39"/>
            <w:col w:w="1327" w:space="40"/>
            <w:col w:w="5041"/>
          </w:cols>
        </w:sectPr>
      </w:pPr>
    </w:p>
    <w:p>
      <w:pPr>
        <w:spacing w:before="27"/>
        <w:ind w:left="2247" w:right="0" w:firstLine="0"/>
        <w:jc w:val="left"/>
        <w:rPr>
          <w:rFonts w:ascii="Arial" w:hAnsi="Arial"/>
          <w:b/>
          <w:sz w:val="18"/>
        </w:rPr>
      </w:pPr>
      <w:r>
        <w:rPr>
          <w:rFonts w:ascii="Arial" w:hAnsi="Arial"/>
          <w:b/>
          <w:sz w:val="18"/>
        </w:rPr>
        <mc:AlternateContent>
          <mc:Choice Requires="wps">
            <w:drawing>
              <wp:anchor distT="0" distB="0" distL="0" distR="0" allowOverlap="1" layoutInCell="1" locked="0" behindDoc="0" simplePos="0" relativeHeight="15729664">
                <wp:simplePos x="0" y="0"/>
                <wp:positionH relativeFrom="page">
                  <wp:posOffset>4652854</wp:posOffset>
                </wp:positionH>
                <wp:positionV relativeFrom="page">
                  <wp:posOffset>4608989</wp:posOffset>
                </wp:positionV>
                <wp:extent cx="1693545" cy="254635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693545" cy="2546350"/>
                          <a:chExt cx="1693545" cy="2546350"/>
                        </a:xfrm>
                      </wpg:grpSpPr>
                      <pic:pic>
                        <pic:nvPicPr>
                          <pic:cNvPr id="19" name="Image 19"/>
                          <pic:cNvPicPr/>
                        </pic:nvPicPr>
                        <pic:blipFill>
                          <a:blip r:embed="rId11" cstate="print"/>
                          <a:stretch>
                            <a:fillRect/>
                          </a:stretch>
                        </pic:blipFill>
                        <pic:spPr>
                          <a:xfrm>
                            <a:off x="0" y="0"/>
                            <a:ext cx="1693173" cy="2545891"/>
                          </a:xfrm>
                          <a:prstGeom prst="rect">
                            <a:avLst/>
                          </a:prstGeom>
                        </pic:spPr>
                      </pic:pic>
                      <wps:wsp>
                        <wps:cNvPr id="20" name="Textbox 20"/>
                        <wps:cNvSpPr txBox="1"/>
                        <wps:spPr>
                          <a:xfrm>
                            <a:off x="69453" y="81989"/>
                            <a:ext cx="640080" cy="143510"/>
                          </a:xfrm>
                          <a:prstGeom prst="rect">
                            <a:avLst/>
                          </a:prstGeom>
                        </wps:spPr>
                        <wps:txbx>
                          <w:txbxContent>
                            <w:p>
                              <w:pPr>
                                <w:spacing w:line="225" w:lineRule="exact" w:before="0"/>
                                <w:ind w:left="0" w:right="0" w:firstLine="0"/>
                                <w:jc w:val="left"/>
                                <w:rPr>
                                  <w:rFonts w:ascii="Arial"/>
                                  <w:b/>
                                  <w:sz w:val="20"/>
                                </w:rPr>
                              </w:pPr>
                              <w:r>
                                <w:rPr>
                                  <w:rFonts w:ascii="Arial"/>
                                  <w:b/>
                                  <w:color w:val="000000"/>
                                  <w:sz w:val="20"/>
                                  <w:shd w:fill="FFFFFF" w:color="auto" w:val="clear"/>
                                </w:rPr>
                                <w:t>E106</w:t>
                              </w:r>
                              <w:r>
                                <w:rPr>
                                  <w:rFonts w:ascii="Arial"/>
                                  <w:b/>
                                  <w:color w:val="000000"/>
                                  <w:spacing w:val="-4"/>
                                  <w:sz w:val="20"/>
                                  <w:shd w:fill="FFFFFF" w:color="auto" w:val="clear"/>
                                </w:rPr>
                                <w:t> </w:t>
                              </w:r>
                              <w:r>
                                <w:rPr>
                                  <w:rFonts w:ascii="Arial"/>
                                  <w:b/>
                                  <w:color w:val="000000"/>
                                  <w:spacing w:val="-5"/>
                                  <w:sz w:val="20"/>
                                  <w:shd w:fill="FFFFFF" w:color="auto" w:val="clear"/>
                                </w:rPr>
                                <w:t>FAC</w:t>
                              </w:r>
                              <w:r>
                                <w:rPr>
                                  <w:rFonts w:ascii="Arial"/>
                                  <w:b/>
                                  <w:color w:val="000000"/>
                                  <w:spacing w:val="40"/>
                                  <w:sz w:val="20"/>
                                  <w:shd w:fill="FFFFFF" w:color="auto" w:val="clear"/>
                                </w:rPr>
                                <w:t> </w:t>
                              </w:r>
                            </w:p>
                          </w:txbxContent>
                        </wps:txbx>
                        <wps:bodyPr wrap="square" lIns="0" tIns="0" rIns="0" bIns="0" rtlCol="0">
                          <a:noAutofit/>
                        </wps:bodyPr>
                      </wps:wsp>
                      <wps:wsp>
                        <wps:cNvPr id="21" name="Textbox 21"/>
                        <wps:cNvSpPr txBox="1"/>
                        <wps:spPr>
                          <a:xfrm>
                            <a:off x="1090564" y="932535"/>
                            <a:ext cx="407670" cy="156845"/>
                          </a:xfrm>
                          <a:prstGeom prst="rect">
                            <a:avLst/>
                          </a:prstGeom>
                        </wps:spPr>
                        <wps:txbx>
                          <w:txbxContent>
                            <w:p>
                              <w:pPr>
                                <w:spacing w:line="246" w:lineRule="exact" w:before="0"/>
                                <w:ind w:left="0" w:right="0" w:firstLine="0"/>
                                <w:jc w:val="left"/>
                                <w:rPr>
                                  <w:rFonts w:ascii="Microsoft Sans Serif" w:hAnsi="Microsoft Sans Serif"/>
                                  <w:sz w:val="22"/>
                                </w:rPr>
                              </w:pPr>
                              <w:r>
                                <w:rPr>
                                  <w:rFonts w:ascii="Microsoft Sans Serif" w:hAnsi="Microsoft Sans Serif"/>
                                  <w:color w:val="FFFFFF"/>
                                  <w:sz w:val="22"/>
                                </w:rPr>
                                <w:t>50</w:t>
                              </w:r>
                              <w:r>
                                <w:rPr>
                                  <w:rFonts w:ascii="Microsoft Sans Serif" w:hAnsi="Microsoft Sans Serif"/>
                                  <w:color w:val="FFFFFF"/>
                                  <w:spacing w:val="2"/>
                                  <w:sz w:val="22"/>
                                </w:rPr>
                                <w:t> </w:t>
                              </w:r>
                              <w:r>
                                <w:rPr>
                                  <w:rFonts w:ascii="Microsoft Sans Serif" w:hAnsi="Microsoft Sans Serif"/>
                                  <w:color w:val="FFFFFF"/>
                                  <w:spacing w:val="-5"/>
                                  <w:sz w:val="22"/>
                                </w:rPr>
                                <w:t>μm</w:t>
                              </w:r>
                            </w:p>
                          </w:txbxContent>
                        </wps:txbx>
                        <wps:bodyPr wrap="square" lIns="0" tIns="0" rIns="0" bIns="0" rtlCol="0">
                          <a:noAutofit/>
                        </wps:bodyPr>
                      </wps:wsp>
                      <wps:wsp>
                        <wps:cNvPr id="22" name="Textbox 22"/>
                        <wps:cNvSpPr txBox="1"/>
                        <wps:spPr>
                          <a:xfrm>
                            <a:off x="69453" y="1372762"/>
                            <a:ext cx="852169" cy="143510"/>
                          </a:xfrm>
                          <a:prstGeom prst="rect">
                            <a:avLst/>
                          </a:prstGeom>
                        </wps:spPr>
                        <wps:txbx>
                          <w:txbxContent>
                            <w:p>
                              <w:pPr>
                                <w:spacing w:line="225" w:lineRule="exact" w:before="0"/>
                                <w:ind w:left="0" w:right="0" w:firstLine="0"/>
                                <w:jc w:val="left"/>
                                <w:rPr>
                                  <w:rFonts w:ascii="Arial"/>
                                  <w:b/>
                                  <w:sz w:val="20"/>
                                </w:rPr>
                              </w:pPr>
                              <w:r>
                                <w:rPr>
                                  <w:rFonts w:ascii="Arial"/>
                                  <w:b/>
                                  <w:color w:val="000000"/>
                                  <w:sz w:val="20"/>
                                  <w:shd w:fill="FFFFFF" w:color="auto" w:val="clear"/>
                                </w:rPr>
                                <w:t>E200/600</w:t>
                              </w:r>
                              <w:r>
                                <w:rPr>
                                  <w:rFonts w:ascii="Arial"/>
                                  <w:b/>
                                  <w:color w:val="000000"/>
                                  <w:spacing w:val="-6"/>
                                  <w:sz w:val="20"/>
                                  <w:shd w:fill="FFFFFF" w:color="auto" w:val="clear"/>
                                </w:rPr>
                                <w:t> </w:t>
                              </w:r>
                              <w:r>
                                <w:rPr>
                                  <w:rFonts w:ascii="Arial"/>
                                  <w:b/>
                                  <w:color w:val="000000"/>
                                  <w:spacing w:val="-5"/>
                                  <w:sz w:val="20"/>
                                  <w:shd w:fill="FFFFFF" w:color="auto" w:val="clear"/>
                                </w:rPr>
                                <w:t>FAC</w:t>
                              </w:r>
                            </w:p>
                          </w:txbxContent>
                        </wps:txbx>
                        <wps:bodyPr wrap="square" lIns="0" tIns="0" rIns="0" bIns="0" rtlCol="0">
                          <a:noAutofit/>
                        </wps:bodyPr>
                      </wps:wsp>
                      <wps:wsp>
                        <wps:cNvPr id="23" name="Textbox 23"/>
                        <wps:cNvSpPr txBox="1"/>
                        <wps:spPr>
                          <a:xfrm>
                            <a:off x="1050948" y="2226298"/>
                            <a:ext cx="487045" cy="156845"/>
                          </a:xfrm>
                          <a:prstGeom prst="rect">
                            <a:avLst/>
                          </a:prstGeom>
                        </wps:spPr>
                        <wps:txbx>
                          <w:txbxContent>
                            <w:p>
                              <w:pPr>
                                <w:spacing w:line="246" w:lineRule="exact" w:before="0"/>
                                <w:ind w:left="0" w:right="0" w:firstLine="0"/>
                                <w:jc w:val="left"/>
                                <w:rPr>
                                  <w:rFonts w:ascii="Microsoft Sans Serif" w:hAnsi="Microsoft Sans Serif"/>
                                  <w:sz w:val="22"/>
                                </w:rPr>
                              </w:pPr>
                              <w:r>
                                <w:rPr>
                                  <w:rFonts w:ascii="Microsoft Sans Serif" w:hAnsi="Microsoft Sans Serif"/>
                                  <w:color w:val="FFFFFF"/>
                                  <w:sz w:val="22"/>
                                </w:rPr>
                                <w:t>300</w:t>
                              </w:r>
                              <w:r>
                                <w:rPr>
                                  <w:rFonts w:ascii="Microsoft Sans Serif" w:hAnsi="Microsoft Sans Serif"/>
                                  <w:color w:val="FFFFFF"/>
                                  <w:spacing w:val="3"/>
                                  <w:sz w:val="22"/>
                                </w:rPr>
                                <w:t> </w:t>
                              </w:r>
                              <w:r>
                                <w:rPr>
                                  <w:rFonts w:ascii="Microsoft Sans Serif" w:hAnsi="Microsoft Sans Serif"/>
                                  <w:color w:val="FFFFFF"/>
                                  <w:spacing w:val="-5"/>
                                  <w:sz w:val="22"/>
                                </w:rPr>
                                <w:t>μm</w:t>
                              </w:r>
                            </w:p>
                          </w:txbxContent>
                        </wps:txbx>
                        <wps:bodyPr wrap="square" lIns="0" tIns="0" rIns="0" bIns="0" rtlCol="0">
                          <a:noAutofit/>
                        </wps:bodyPr>
                      </wps:wsp>
                    </wpg:wgp>
                  </a:graphicData>
                </a:graphic>
              </wp:anchor>
            </w:drawing>
          </mc:Choice>
          <mc:Fallback>
            <w:pict>
              <v:group style="position:absolute;margin-left:366.366486pt;margin-top:362.912598pt;width:133.35pt;height:200.5pt;mso-position-horizontal-relative:page;mso-position-vertical-relative:page;z-index:15729664" id="docshapegroup12" coordorigin="7327,7258" coordsize="2667,4010">
                <v:shape style="position:absolute;left:7327;top:7258;width:2667;height:4010" type="#_x0000_t75" id="docshape13" stroked="false">
                  <v:imagedata r:id="rId11" o:title=""/>
                </v:shape>
                <v:shape style="position:absolute;left:7436;top:7387;width:1008;height:226" type="#_x0000_t202" id="docshape14" filled="false" stroked="false">
                  <v:textbox inset="0,0,0,0">
                    <w:txbxContent>
                      <w:p>
                        <w:pPr>
                          <w:spacing w:line="225" w:lineRule="exact" w:before="0"/>
                          <w:ind w:left="0" w:right="0" w:firstLine="0"/>
                          <w:jc w:val="left"/>
                          <w:rPr>
                            <w:rFonts w:ascii="Arial"/>
                            <w:b/>
                            <w:sz w:val="20"/>
                          </w:rPr>
                        </w:pPr>
                        <w:r>
                          <w:rPr>
                            <w:rFonts w:ascii="Arial"/>
                            <w:b/>
                            <w:color w:val="000000"/>
                            <w:sz w:val="20"/>
                            <w:shd w:fill="FFFFFF" w:color="auto" w:val="clear"/>
                          </w:rPr>
                          <w:t>E106</w:t>
                        </w:r>
                        <w:r>
                          <w:rPr>
                            <w:rFonts w:ascii="Arial"/>
                            <w:b/>
                            <w:color w:val="000000"/>
                            <w:spacing w:val="-4"/>
                            <w:sz w:val="20"/>
                            <w:shd w:fill="FFFFFF" w:color="auto" w:val="clear"/>
                          </w:rPr>
                          <w:t> </w:t>
                        </w:r>
                        <w:r>
                          <w:rPr>
                            <w:rFonts w:ascii="Arial"/>
                            <w:b/>
                            <w:color w:val="000000"/>
                            <w:spacing w:val="-5"/>
                            <w:sz w:val="20"/>
                            <w:shd w:fill="FFFFFF" w:color="auto" w:val="clear"/>
                          </w:rPr>
                          <w:t>FAC</w:t>
                        </w:r>
                        <w:r>
                          <w:rPr>
                            <w:rFonts w:ascii="Arial"/>
                            <w:b/>
                            <w:color w:val="000000"/>
                            <w:spacing w:val="40"/>
                            <w:sz w:val="20"/>
                            <w:shd w:fill="FFFFFF" w:color="auto" w:val="clear"/>
                          </w:rPr>
                          <w:t> </w:t>
                        </w:r>
                      </w:p>
                    </w:txbxContent>
                  </v:textbox>
                  <w10:wrap type="none"/>
                </v:shape>
                <v:shape style="position:absolute;left:9044;top:8726;width:642;height:247" type="#_x0000_t202" id="docshape15" filled="false" stroked="false">
                  <v:textbox inset="0,0,0,0">
                    <w:txbxContent>
                      <w:p>
                        <w:pPr>
                          <w:spacing w:line="246" w:lineRule="exact" w:before="0"/>
                          <w:ind w:left="0" w:right="0" w:firstLine="0"/>
                          <w:jc w:val="left"/>
                          <w:rPr>
                            <w:rFonts w:ascii="Microsoft Sans Serif" w:hAnsi="Microsoft Sans Serif"/>
                            <w:sz w:val="22"/>
                          </w:rPr>
                        </w:pPr>
                        <w:r>
                          <w:rPr>
                            <w:rFonts w:ascii="Microsoft Sans Serif" w:hAnsi="Microsoft Sans Serif"/>
                            <w:color w:val="FFFFFF"/>
                            <w:sz w:val="22"/>
                          </w:rPr>
                          <w:t>50</w:t>
                        </w:r>
                        <w:r>
                          <w:rPr>
                            <w:rFonts w:ascii="Microsoft Sans Serif" w:hAnsi="Microsoft Sans Serif"/>
                            <w:color w:val="FFFFFF"/>
                            <w:spacing w:val="2"/>
                            <w:sz w:val="22"/>
                          </w:rPr>
                          <w:t> </w:t>
                        </w:r>
                        <w:r>
                          <w:rPr>
                            <w:rFonts w:ascii="Microsoft Sans Serif" w:hAnsi="Microsoft Sans Serif"/>
                            <w:color w:val="FFFFFF"/>
                            <w:spacing w:val="-5"/>
                            <w:sz w:val="22"/>
                          </w:rPr>
                          <w:t>μm</w:t>
                        </w:r>
                      </w:p>
                    </w:txbxContent>
                  </v:textbox>
                  <w10:wrap type="none"/>
                </v:shape>
                <v:shape style="position:absolute;left:7436;top:9420;width:1342;height:226" type="#_x0000_t202" id="docshape16" filled="false" stroked="false">
                  <v:textbox inset="0,0,0,0">
                    <w:txbxContent>
                      <w:p>
                        <w:pPr>
                          <w:spacing w:line="225" w:lineRule="exact" w:before="0"/>
                          <w:ind w:left="0" w:right="0" w:firstLine="0"/>
                          <w:jc w:val="left"/>
                          <w:rPr>
                            <w:rFonts w:ascii="Arial"/>
                            <w:b/>
                            <w:sz w:val="20"/>
                          </w:rPr>
                        </w:pPr>
                        <w:r>
                          <w:rPr>
                            <w:rFonts w:ascii="Arial"/>
                            <w:b/>
                            <w:color w:val="000000"/>
                            <w:sz w:val="20"/>
                            <w:shd w:fill="FFFFFF" w:color="auto" w:val="clear"/>
                          </w:rPr>
                          <w:t>E200/600</w:t>
                        </w:r>
                        <w:r>
                          <w:rPr>
                            <w:rFonts w:ascii="Arial"/>
                            <w:b/>
                            <w:color w:val="000000"/>
                            <w:spacing w:val="-6"/>
                            <w:sz w:val="20"/>
                            <w:shd w:fill="FFFFFF" w:color="auto" w:val="clear"/>
                          </w:rPr>
                          <w:t> </w:t>
                        </w:r>
                        <w:r>
                          <w:rPr>
                            <w:rFonts w:ascii="Arial"/>
                            <w:b/>
                            <w:color w:val="000000"/>
                            <w:spacing w:val="-5"/>
                            <w:sz w:val="20"/>
                            <w:shd w:fill="FFFFFF" w:color="auto" w:val="clear"/>
                          </w:rPr>
                          <w:t>FAC</w:t>
                        </w:r>
                      </w:p>
                    </w:txbxContent>
                  </v:textbox>
                  <w10:wrap type="none"/>
                </v:shape>
                <v:shape style="position:absolute;left:8982;top:10764;width:767;height:247" type="#_x0000_t202" id="docshape17" filled="false" stroked="false">
                  <v:textbox inset="0,0,0,0">
                    <w:txbxContent>
                      <w:p>
                        <w:pPr>
                          <w:spacing w:line="246" w:lineRule="exact" w:before="0"/>
                          <w:ind w:left="0" w:right="0" w:firstLine="0"/>
                          <w:jc w:val="left"/>
                          <w:rPr>
                            <w:rFonts w:ascii="Microsoft Sans Serif" w:hAnsi="Microsoft Sans Serif"/>
                            <w:sz w:val="22"/>
                          </w:rPr>
                        </w:pPr>
                        <w:r>
                          <w:rPr>
                            <w:rFonts w:ascii="Microsoft Sans Serif" w:hAnsi="Microsoft Sans Serif"/>
                            <w:color w:val="FFFFFF"/>
                            <w:sz w:val="22"/>
                          </w:rPr>
                          <w:t>300</w:t>
                        </w:r>
                        <w:r>
                          <w:rPr>
                            <w:rFonts w:ascii="Microsoft Sans Serif" w:hAnsi="Microsoft Sans Serif"/>
                            <w:color w:val="FFFFFF"/>
                            <w:spacing w:val="3"/>
                            <w:sz w:val="22"/>
                          </w:rPr>
                          <w:t> </w:t>
                        </w:r>
                        <w:r>
                          <w:rPr>
                            <w:rFonts w:ascii="Microsoft Sans Serif" w:hAnsi="Microsoft Sans Serif"/>
                            <w:color w:val="FFFFFF"/>
                            <w:spacing w:val="-5"/>
                            <w:sz w:val="22"/>
                          </w:rPr>
                          <w:t>μm</w:t>
                        </w:r>
                      </w:p>
                    </w:txbxContent>
                  </v:textbox>
                  <w10:wrap type="none"/>
                </v:shape>
                <w10:wrap type="none"/>
              </v:group>
            </w:pict>
          </mc:Fallback>
        </mc:AlternateContent>
      </w:r>
      <w:r>
        <w:rPr>
          <w:rFonts w:ascii="Arial" w:hAnsi="Arial"/>
          <w:b/>
          <w:sz w:val="18"/>
        </w:rPr>
        <mc:AlternateContent>
          <mc:Choice Requires="wps">
            <w:drawing>
              <wp:anchor distT="0" distB="0" distL="0" distR="0" allowOverlap="1" layoutInCell="1" locked="0" behindDoc="0" simplePos="0" relativeHeight="15732736">
                <wp:simplePos x="0" y="0"/>
                <wp:positionH relativeFrom="page">
                  <wp:posOffset>-1637</wp:posOffset>
                </wp:positionH>
                <wp:positionV relativeFrom="page">
                  <wp:posOffset>2272607</wp:posOffset>
                </wp:positionV>
                <wp:extent cx="138430" cy="551370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2736" type="#_x0000_t202" id="docshape18"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rFonts w:ascii="Arial" w:hAnsi="Arial"/>
          <w:b/>
          <w:sz w:val="18"/>
        </w:rPr>
        <w:t>Particle</w:t>
      </w:r>
      <w:r>
        <w:rPr>
          <w:rFonts w:ascii="Arial" w:hAnsi="Arial"/>
          <w:b/>
          <w:spacing w:val="-6"/>
          <w:sz w:val="18"/>
        </w:rPr>
        <w:t> </w:t>
      </w:r>
      <w:r>
        <w:rPr>
          <w:rFonts w:ascii="Arial" w:hAnsi="Arial"/>
          <w:b/>
          <w:sz w:val="18"/>
        </w:rPr>
        <w:t>Size</w:t>
      </w:r>
      <w:r>
        <w:rPr>
          <w:rFonts w:ascii="Arial" w:hAnsi="Arial"/>
          <w:b/>
          <w:spacing w:val="-3"/>
          <w:sz w:val="18"/>
        </w:rPr>
        <w:t> </w:t>
      </w:r>
      <w:r>
        <w:rPr>
          <w:rFonts w:ascii="Arial" w:hAnsi="Arial"/>
          <w:b/>
          <w:spacing w:val="-4"/>
          <w:sz w:val="18"/>
        </w:rPr>
        <w:t>(μm)</w:t>
      </w:r>
    </w:p>
    <w:p>
      <w:pPr>
        <w:pStyle w:val="Heading2"/>
        <w:spacing w:line="237" w:lineRule="auto" w:before="41"/>
        <w:ind w:left="2151" w:right="391" w:hanging="1782"/>
      </w:pPr>
      <w:r>
        <w:rPr/>
        <w:t>Figure</w:t>
      </w:r>
      <w:r>
        <w:rPr>
          <w:spacing w:val="-4"/>
        </w:rPr>
        <w:t> </w:t>
      </w:r>
      <w:r>
        <w:rPr/>
        <w:t>2.</w:t>
      </w:r>
      <w:r>
        <w:rPr>
          <w:spacing w:val="-1"/>
        </w:rPr>
        <w:t> </w:t>
      </w:r>
      <w:r>
        <w:rPr/>
        <w:t>(a)</w:t>
      </w:r>
      <w:r>
        <w:rPr>
          <w:spacing w:val="-2"/>
        </w:rPr>
        <w:t> </w:t>
      </w:r>
      <w:r>
        <w:rPr/>
        <w:t>Particle</w:t>
      </w:r>
      <w:r>
        <w:rPr>
          <w:spacing w:val="-4"/>
        </w:rPr>
        <w:t> </w:t>
      </w:r>
      <w:r>
        <w:rPr/>
        <w:t>size</w:t>
      </w:r>
      <w:r>
        <w:rPr>
          <w:spacing w:val="-4"/>
        </w:rPr>
        <w:t> </w:t>
      </w:r>
      <w:r>
        <w:rPr/>
        <w:t>distribution</w:t>
      </w:r>
      <w:r>
        <w:rPr>
          <w:spacing w:val="-2"/>
        </w:rPr>
        <w:t> </w:t>
      </w:r>
      <w:r>
        <w:rPr/>
        <w:t>of</w:t>
      </w:r>
      <w:r>
        <w:rPr>
          <w:spacing w:val="-6"/>
        </w:rPr>
        <w:t> </w:t>
      </w:r>
      <w:r>
        <w:rPr/>
        <w:t>the</w:t>
      </w:r>
      <w:r>
        <w:rPr>
          <w:spacing w:val="-4"/>
        </w:rPr>
        <w:t> </w:t>
      </w:r>
      <w:r>
        <w:rPr/>
        <w:t>fly-ash</w:t>
      </w:r>
      <w:r>
        <w:rPr>
          <w:spacing w:val="-3"/>
        </w:rPr>
        <w:t> </w:t>
      </w:r>
      <w:r>
        <w:rPr/>
        <w:t>cenospheres</w:t>
      </w:r>
      <w:r>
        <w:rPr>
          <w:spacing w:val="-5"/>
        </w:rPr>
        <w:t> </w:t>
      </w:r>
      <w:r>
        <w:rPr/>
        <w:t>(FAC)</w:t>
      </w:r>
      <w:r>
        <w:rPr>
          <w:spacing w:val="-2"/>
        </w:rPr>
        <w:t> </w:t>
      </w:r>
      <w:r>
        <w:rPr/>
        <w:t>and</w:t>
      </w:r>
      <w:r>
        <w:rPr>
          <w:spacing w:val="-3"/>
        </w:rPr>
        <w:t> </w:t>
      </w:r>
      <w:r>
        <w:rPr/>
        <w:t>(b)</w:t>
      </w:r>
      <w:r>
        <w:rPr>
          <w:spacing w:val="-2"/>
        </w:rPr>
        <w:t> </w:t>
      </w:r>
      <w:r>
        <w:rPr/>
        <w:t>SEM images showing surface morphology of the FACs.</w:t>
      </w:r>
    </w:p>
    <w:p>
      <w:pPr>
        <w:spacing w:before="205"/>
        <w:ind w:left="0" w:right="0" w:firstLine="0"/>
        <w:jc w:val="left"/>
        <w:rPr>
          <w:b/>
          <w:sz w:val="24"/>
        </w:rPr>
      </w:pPr>
      <w:r>
        <w:rPr>
          <w:b/>
          <w:sz w:val="24"/>
        </w:rPr>
        <w:t>Lightweight Cementitious</w:t>
      </w:r>
      <w:r>
        <w:rPr>
          <w:b/>
          <w:spacing w:val="-2"/>
          <w:sz w:val="24"/>
        </w:rPr>
        <w:t> Composites</w:t>
      </w:r>
    </w:p>
    <w:p>
      <w:pPr>
        <w:pStyle w:val="BodyText"/>
        <w:spacing w:before="190"/>
        <w:ind w:right="327" w:firstLine="360"/>
      </w:pPr>
      <w:r>
        <w:rPr/>
        <w:t>Lightweight cementitious composites (or LWCC) are produced by incorporating millimeter and micrometer</w:t>
      </w:r>
      <w:r>
        <w:rPr>
          <w:spacing w:val="-1"/>
        </w:rPr>
        <w:t> </w:t>
      </w:r>
      <w:r>
        <w:rPr/>
        <w:t>size lightweight functional</w:t>
      </w:r>
      <w:r>
        <w:rPr>
          <w:spacing w:val="-2"/>
        </w:rPr>
        <w:t> </w:t>
      </w:r>
      <w:r>
        <w:rPr/>
        <w:t>fillers</w:t>
      </w:r>
      <w:r>
        <w:rPr>
          <w:spacing w:val="-4"/>
        </w:rPr>
        <w:t> </w:t>
      </w:r>
      <w:r>
        <w:rPr/>
        <w:t>(LWFs) including</w:t>
      </w:r>
      <w:r>
        <w:rPr>
          <w:spacing w:val="-2"/>
        </w:rPr>
        <w:t> </w:t>
      </w:r>
      <w:r>
        <w:rPr/>
        <w:t>expanded</w:t>
      </w:r>
      <w:r>
        <w:rPr>
          <w:spacing w:val="-2"/>
        </w:rPr>
        <w:t> </w:t>
      </w:r>
      <w:r>
        <w:rPr/>
        <w:t>polystyrene beads, expandable thermoplastic microspheres (Aglan</w:t>
      </w:r>
      <w:r>
        <w:rPr>
          <w:spacing w:val="-3"/>
        </w:rPr>
        <w:t> </w:t>
      </w:r>
      <w:r>
        <w:rPr/>
        <w:t>et al. 2009), hollow glass microspheres (Zhang et al. 2015; Oreshkin et al. 2016), and fly-ash cenospheres (Huang et al. 2013; Hanif et al. 2017) into cementitious binder matrix. Some of</w:t>
      </w:r>
      <w:r>
        <w:rPr>
          <w:spacing w:val="-1"/>
        </w:rPr>
        <w:t> </w:t>
      </w:r>
      <w:r>
        <w:rPr/>
        <w:t>the emerging LWFs are introduced herein. The use of LWCC in buildings and habitat structure brings two-fold advantages: first, it reduces structural</w:t>
      </w:r>
    </w:p>
    <w:p>
      <w:pPr>
        <w:pStyle w:val="BodyText"/>
        <w:spacing w:after="0"/>
        <w:sectPr>
          <w:type w:val="continuous"/>
          <w:pgSz w:w="12240" w:h="15840"/>
          <w:pgMar w:header="720" w:footer="746" w:top="1340" w:bottom="940" w:left="1440" w:right="1080"/>
        </w:sectPr>
      </w:pPr>
    </w:p>
    <w:p>
      <w:pPr>
        <w:pStyle w:val="BodyText"/>
        <w:spacing w:before="80"/>
        <w:ind w:right="383"/>
      </w:pPr>
      <w:r>
        <w:rPr/>
        <mc:AlternateContent>
          <mc:Choice Requires="wps">
            <w:drawing>
              <wp:anchor distT="0" distB="0" distL="0" distR="0" allowOverlap="1" layoutInCell="1" locked="0" behindDoc="0" simplePos="0" relativeHeight="15734272">
                <wp:simplePos x="0" y="0"/>
                <wp:positionH relativeFrom="page">
                  <wp:posOffset>-1637</wp:posOffset>
                </wp:positionH>
                <wp:positionV relativeFrom="page">
                  <wp:posOffset>2272607</wp:posOffset>
                </wp:positionV>
                <wp:extent cx="138430" cy="551370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4272" type="#_x0000_t202" id="docshape19"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weight and the dead load acting on the structures which would lead to smaller structural</w:t>
      </w:r>
      <w:r>
        <w:rPr/>
        <w:t> members and foundation size (Yasar et al. 2003); secondly, the materials have lower thermal conductivity</w:t>
      </w:r>
      <w:r>
        <w:rPr>
          <w:spacing w:val="-10"/>
        </w:rPr>
        <w:t> </w:t>
      </w:r>
      <w:r>
        <w:rPr/>
        <w:t>than</w:t>
      </w:r>
      <w:r>
        <w:rPr>
          <w:spacing w:val="-1"/>
        </w:rPr>
        <w:t> </w:t>
      </w:r>
      <w:r>
        <w:rPr/>
        <w:t>normal</w:t>
      </w:r>
      <w:r>
        <w:rPr>
          <w:spacing w:val="-9"/>
        </w:rPr>
        <w:t> </w:t>
      </w:r>
      <w:r>
        <w:rPr/>
        <w:t>weight concrete</w:t>
      </w:r>
      <w:r>
        <w:rPr>
          <w:spacing w:val="-7"/>
        </w:rPr>
        <w:t> </w:t>
      </w:r>
      <w:r>
        <w:rPr/>
        <w:t>which</w:t>
      </w:r>
      <w:r>
        <w:rPr>
          <w:spacing w:val="-6"/>
        </w:rPr>
        <w:t> </w:t>
      </w:r>
      <w:r>
        <w:rPr/>
        <w:t>will</w:t>
      </w:r>
      <w:r>
        <w:rPr>
          <w:spacing w:val="-5"/>
        </w:rPr>
        <w:t> </w:t>
      </w:r>
      <w:r>
        <w:rPr/>
        <w:t>in</w:t>
      </w:r>
      <w:r>
        <w:rPr>
          <w:spacing w:val="-1"/>
        </w:rPr>
        <w:t> </w:t>
      </w:r>
      <w:r>
        <w:rPr/>
        <w:t>turn</w:t>
      </w:r>
      <w:r>
        <w:rPr>
          <w:spacing w:val="-6"/>
        </w:rPr>
        <w:t> </w:t>
      </w:r>
      <w:r>
        <w:rPr/>
        <w:t>reduce</w:t>
      </w:r>
      <w:r>
        <w:rPr>
          <w:spacing w:val="-2"/>
        </w:rPr>
        <w:t> </w:t>
      </w:r>
      <w:r>
        <w:rPr/>
        <w:t>building</w:t>
      </w:r>
      <w:r>
        <w:rPr>
          <w:spacing w:val="-1"/>
        </w:rPr>
        <w:t> </w:t>
      </w:r>
      <w:r>
        <w:rPr/>
        <w:t>energy</w:t>
      </w:r>
      <w:r>
        <w:rPr>
          <w:spacing w:val="-10"/>
        </w:rPr>
        <w:t> </w:t>
      </w:r>
      <w:r>
        <w:rPr/>
        <w:t>consumption and provide better fire resistance (Clarke 1993). Unlike most lightweight coarse aggregates with irregular shape and porous surfaces (e.g., expanded shale clay), the lightweight particulate aggregates/fillers have much smaller particle size and are mostly spherical in shape (or have a core-shell configuration), leading to much more tightly controlled rheological properties for advanced construction process such as 3-D printing and long-distance pumping. It also allows</w:t>
      </w:r>
      <w:r>
        <w:rPr>
          <w:spacing w:val="40"/>
        </w:rPr>
        <w:t> </w:t>
      </w:r>
      <w:r>
        <w:rPr/>
        <w:t>the fine-tuning of material properties by varying material parameters such as particle size, shell thickness</w:t>
      </w:r>
      <w:r>
        <w:rPr>
          <w:spacing w:val="-1"/>
        </w:rPr>
        <w:t> </w:t>
      </w:r>
      <w:r>
        <w:rPr/>
        <w:t>(stiffness), and volume fraction. Thus, an accurate</w:t>
      </w:r>
      <w:r>
        <w:rPr>
          <w:spacing w:val="-5"/>
        </w:rPr>
        <w:t> </w:t>
      </w:r>
      <w:r>
        <w:rPr/>
        <w:t>knowledge of</w:t>
      </w:r>
      <w:r>
        <w:rPr>
          <w:spacing w:val="-7"/>
        </w:rPr>
        <w:t> </w:t>
      </w:r>
      <w:r>
        <w:rPr/>
        <w:t>relationships</w:t>
      </w:r>
      <w:r>
        <w:rPr>
          <w:spacing w:val="-1"/>
        </w:rPr>
        <w:t> </w:t>
      </w:r>
      <w:r>
        <w:rPr/>
        <w:t>between the composition, aggregate property, and the equivalent properties of the LWCC is desired for material design.</w:t>
      </w:r>
    </w:p>
    <w:p>
      <w:pPr>
        <w:pStyle w:val="BodyText"/>
        <w:spacing w:before="1"/>
        <w:ind w:right="391" w:firstLine="360"/>
      </w:pPr>
      <w:r>
        <w:rPr/>
        <w:t>In this research, a comparative study is conducted on the properties of lightweight cementitious composites (LWCC) mixed with two types of lightweight filler particles – i.e., hollow glass microspheres (HGM) and fly</w:t>
      </w:r>
      <w:r>
        <w:rPr>
          <w:spacing w:val="-4"/>
        </w:rPr>
        <w:t> </w:t>
      </w:r>
      <w:r>
        <w:rPr/>
        <w:t>ash cenospheres (FAC). The material</w:t>
      </w:r>
      <w:r>
        <w:rPr>
          <w:spacing w:val="-4"/>
        </w:rPr>
        <w:t> </w:t>
      </w:r>
      <w:r>
        <w:rPr/>
        <w:t>thermophysical and</w:t>
      </w:r>
      <w:r>
        <w:rPr>
          <w:spacing w:val="-1"/>
        </w:rPr>
        <w:t> </w:t>
      </w:r>
      <w:r>
        <w:rPr/>
        <w:t>mechanical</w:t>
      </w:r>
      <w:r>
        <w:rPr>
          <w:spacing w:val="-9"/>
        </w:rPr>
        <w:t> </w:t>
      </w:r>
      <w:r>
        <w:rPr/>
        <w:t>properties</w:t>
      </w:r>
      <w:r>
        <w:rPr>
          <w:spacing w:val="-7"/>
        </w:rPr>
        <w:t> </w:t>
      </w:r>
      <w:r>
        <w:rPr/>
        <w:t>are</w:t>
      </w:r>
      <w:r>
        <w:rPr>
          <w:spacing w:val="-1"/>
        </w:rPr>
        <w:t> </w:t>
      </w:r>
      <w:r>
        <w:rPr/>
        <w:t>investigated</w:t>
      </w:r>
      <w:r>
        <w:rPr>
          <w:spacing w:val="-5"/>
        </w:rPr>
        <w:t> </w:t>
      </w:r>
      <w:r>
        <w:rPr/>
        <w:t>with</w:t>
      </w:r>
      <w:r>
        <w:rPr>
          <w:spacing w:val="-9"/>
        </w:rPr>
        <w:t> </w:t>
      </w:r>
      <w:r>
        <w:rPr/>
        <w:t>respect</w:t>
      </w:r>
      <w:r>
        <w:rPr>
          <w:spacing w:val="-5"/>
        </w:rPr>
        <w:t> </w:t>
      </w:r>
      <w:r>
        <w:rPr/>
        <w:t>to</w:t>
      </w:r>
      <w:r>
        <w:rPr>
          <w:spacing w:val="-5"/>
        </w:rPr>
        <w:t> </w:t>
      </w:r>
      <w:r>
        <w:rPr/>
        <w:t>the</w:t>
      </w:r>
      <w:r>
        <w:rPr>
          <w:spacing w:val="-6"/>
        </w:rPr>
        <w:t> </w:t>
      </w:r>
      <w:r>
        <w:rPr/>
        <w:t>lightweight filler</w:t>
      </w:r>
      <w:r>
        <w:rPr>
          <w:spacing w:val="-4"/>
        </w:rPr>
        <w:t> </w:t>
      </w:r>
      <w:r>
        <w:rPr/>
        <w:t>particle</w:t>
      </w:r>
      <w:r>
        <w:rPr>
          <w:spacing w:val="-6"/>
        </w:rPr>
        <w:t> </w:t>
      </w:r>
      <w:r>
        <w:rPr/>
        <w:t>type,</w:t>
      </w:r>
      <w:r>
        <w:rPr>
          <w:spacing w:val="-3"/>
        </w:rPr>
        <w:t> </w:t>
      </w:r>
      <w:r>
        <w:rPr/>
        <w:t>size distribution, as well as their volume concentration. Key parameters governing the material thermal</w:t>
      </w:r>
      <w:r>
        <w:rPr>
          <w:spacing w:val="-3"/>
        </w:rPr>
        <w:t> </w:t>
      </w:r>
      <w:r>
        <w:rPr/>
        <w:t>and mechanical</w:t>
      </w:r>
      <w:r>
        <w:rPr>
          <w:spacing w:val="-3"/>
        </w:rPr>
        <w:t> </w:t>
      </w:r>
      <w:r>
        <w:rPr/>
        <w:t>properties are discussed, and the composition-property</w:t>
      </w:r>
      <w:r>
        <w:rPr>
          <w:spacing w:val="-4"/>
        </w:rPr>
        <w:t> </w:t>
      </w:r>
      <w:r>
        <w:rPr/>
        <w:t>relationships are deduced from both experimental results and predictive models. In addition, to understand the strain-rate dependent behavior of LWCC, a set of compressive tests were conducted using the split Hopkinson pressure bar (SHPB) on LWCC containing fly-ash cenospheres. The dynamic strain-strass behavior and damage mode were investigated as functions of the strain rate.</w:t>
      </w:r>
    </w:p>
    <w:p>
      <w:pPr>
        <w:pStyle w:val="Heading1"/>
      </w:pPr>
      <w:r>
        <w:rPr/>
        <w:t>EXPERIMENTAL</w:t>
      </w:r>
      <w:r>
        <w:rPr>
          <w:spacing w:val="-9"/>
        </w:rPr>
        <w:t> </w:t>
      </w:r>
      <w:r>
        <w:rPr>
          <w:spacing w:val="-2"/>
        </w:rPr>
        <w:t>PROGRAM</w:t>
      </w:r>
    </w:p>
    <w:p>
      <w:pPr>
        <w:pStyle w:val="Heading2"/>
        <w:spacing w:before="200"/>
      </w:pPr>
      <w:r>
        <w:rPr/>
        <w:t>Material</w:t>
      </w:r>
      <w:r>
        <w:rPr>
          <w:spacing w:val="-7"/>
        </w:rPr>
        <w:t> </w:t>
      </w:r>
      <w:r>
        <w:rPr/>
        <w:t>Preparation</w:t>
      </w:r>
      <w:r>
        <w:rPr>
          <w:spacing w:val="-1"/>
        </w:rPr>
        <w:t> </w:t>
      </w:r>
      <w:r>
        <w:rPr/>
        <w:t>and</w:t>
      </w:r>
      <w:r>
        <w:rPr>
          <w:spacing w:val="-6"/>
        </w:rPr>
        <w:t> </w:t>
      </w:r>
      <w:r>
        <w:rPr/>
        <w:t>Mixture</w:t>
      </w:r>
      <w:r>
        <w:rPr>
          <w:spacing w:val="-3"/>
        </w:rPr>
        <w:t> </w:t>
      </w:r>
      <w:r>
        <w:rPr>
          <w:spacing w:val="-2"/>
        </w:rPr>
        <w:t>Design</w:t>
      </w:r>
    </w:p>
    <w:p>
      <w:pPr>
        <w:pStyle w:val="BodyText"/>
        <w:spacing w:line="237" w:lineRule="auto" w:before="196"/>
        <w:ind w:right="390" w:firstLine="360"/>
      </w:pPr>
      <w:r>
        <w:rPr/>
        <w:t>The constituent materials used for preparing the LWCC in this study include ASTM Type I- II Portland cement, silica sand, water, superplasticizer, and the lightweight fillers (LWF). The water to cement ratio (w/c) was selected at 0.43 for all mixtures. The mass of</w:t>
      </w:r>
      <w:r>
        <w:rPr>
          <w:spacing w:val="-2"/>
        </w:rPr>
        <w:t> </w:t>
      </w:r>
      <w:r>
        <w:rPr/>
        <w:t>cement, sand, and water used for each cubic meter of the reference mortar (without LWF) are 531 kg/m</w:t>
      </w:r>
      <w:r>
        <w:rPr>
          <w:vertAlign w:val="superscript"/>
        </w:rPr>
        <w:t>3</w:t>
      </w:r>
      <w:r>
        <w:rPr>
          <w:vertAlign w:val="baseline"/>
        </w:rPr>
        <w:t>, 1368 kg/m</w:t>
      </w:r>
      <w:r>
        <w:rPr>
          <w:vertAlign w:val="superscript"/>
        </w:rPr>
        <w:t>3</w:t>
      </w:r>
      <w:r>
        <w:rPr>
          <w:vertAlign w:val="baseline"/>
        </w:rPr>
        <w:t>, and 228 kg/m</w:t>
      </w:r>
      <w:r>
        <w:rPr>
          <w:vertAlign w:val="superscript"/>
        </w:rPr>
        <w:t>3</w:t>
      </w:r>
      <w:r>
        <w:rPr>
          <w:vertAlign w:val="baseline"/>
        </w:rPr>
        <w:t>, respectively. The LWF</w:t>
      </w:r>
      <w:r>
        <w:rPr>
          <w:spacing w:val="-2"/>
          <w:vertAlign w:val="baseline"/>
        </w:rPr>
        <w:t> </w:t>
      </w:r>
      <w:r>
        <w:rPr>
          <w:vertAlign w:val="baseline"/>
        </w:rPr>
        <w:t>used in</w:t>
      </w:r>
      <w:r>
        <w:rPr>
          <w:spacing w:val="-3"/>
          <w:vertAlign w:val="baseline"/>
        </w:rPr>
        <w:t> </w:t>
      </w:r>
      <w:r>
        <w:rPr>
          <w:vertAlign w:val="baseline"/>
        </w:rPr>
        <w:t>this research include three types of</w:t>
      </w:r>
      <w:r>
        <w:rPr>
          <w:spacing w:val="-1"/>
          <w:vertAlign w:val="baseline"/>
        </w:rPr>
        <w:t> </w:t>
      </w:r>
      <w:r>
        <w:rPr>
          <w:vertAlign w:val="baseline"/>
        </w:rPr>
        <w:t>hollow glass microspheres (HGM) and two types of fly ash cenospheres (FAC). For each type of LWF, different particle properties (i.e., size, density, crushing strength, and volume fraction etc.) were studied with respect to their influences on the mechanical and thermophysical properties of </w:t>
      </w:r>
      <w:r>
        <w:rPr>
          <w:position w:val="2"/>
          <w:vertAlign w:val="baseline"/>
        </w:rPr>
        <w:t>LWCC. For each</w:t>
      </w:r>
      <w:r>
        <w:rPr>
          <w:spacing w:val="-4"/>
          <w:position w:val="2"/>
          <w:vertAlign w:val="baseline"/>
        </w:rPr>
        <w:t> </w:t>
      </w:r>
      <w:r>
        <w:rPr>
          <w:position w:val="2"/>
          <w:vertAlign w:val="baseline"/>
        </w:rPr>
        <w:t>group</w:t>
      </w:r>
      <w:r>
        <w:rPr>
          <w:spacing w:val="-4"/>
          <w:position w:val="2"/>
          <w:vertAlign w:val="baseline"/>
        </w:rPr>
        <w:t> </w:t>
      </w:r>
      <w:r>
        <w:rPr>
          <w:position w:val="2"/>
          <w:vertAlign w:val="baseline"/>
        </w:rPr>
        <w:t>of</w:t>
      </w:r>
      <w:r>
        <w:rPr>
          <w:spacing w:val="-7"/>
          <w:position w:val="2"/>
          <w:vertAlign w:val="baseline"/>
        </w:rPr>
        <w:t> </w:t>
      </w:r>
      <w:r>
        <w:rPr>
          <w:position w:val="2"/>
          <w:vertAlign w:val="baseline"/>
        </w:rPr>
        <w:t>LWF</w:t>
      </w:r>
      <w:r>
        <w:rPr>
          <w:spacing w:val="-3"/>
          <w:position w:val="2"/>
          <w:vertAlign w:val="baseline"/>
        </w:rPr>
        <w:t> </w:t>
      </w:r>
      <w:r>
        <w:rPr>
          <w:position w:val="2"/>
          <w:vertAlign w:val="baseline"/>
        </w:rPr>
        <w:t>tested herein, four LWF volume fractions</w:t>
      </w:r>
      <w:r>
        <w:rPr>
          <w:spacing w:val="-1"/>
          <w:position w:val="2"/>
          <w:vertAlign w:val="baseline"/>
        </w:rPr>
        <w:t> </w:t>
      </w:r>
      <w:r>
        <w:rPr>
          <w:position w:val="2"/>
          <w:vertAlign w:val="baseline"/>
        </w:rPr>
        <w:t>(</w:t>
      </w:r>
      <w:r>
        <w:rPr>
          <w:i/>
          <w:position w:val="2"/>
          <w:vertAlign w:val="baseline"/>
        </w:rPr>
        <w:t>v</w:t>
      </w:r>
      <w:r>
        <w:rPr>
          <w:i/>
          <w:sz w:val="16"/>
          <w:vertAlign w:val="baseline"/>
        </w:rPr>
        <w:t>f</w:t>
      </w:r>
      <w:r>
        <w:rPr>
          <w:position w:val="2"/>
          <w:vertAlign w:val="baseline"/>
        </w:rPr>
        <w:t>) – i.e., namely</w:t>
      </w:r>
      <w:r>
        <w:rPr>
          <w:spacing w:val="-4"/>
          <w:position w:val="2"/>
          <w:vertAlign w:val="baseline"/>
        </w:rPr>
        <w:t> </w:t>
      </w:r>
      <w:r>
        <w:rPr>
          <w:position w:val="2"/>
          <w:vertAlign w:val="baseline"/>
        </w:rPr>
        <w:t>7%, </w:t>
      </w:r>
      <w:r>
        <w:rPr>
          <w:vertAlign w:val="baseline"/>
        </w:rPr>
        <w:t>14%, 21%, and 28% of</w:t>
      </w:r>
      <w:r>
        <w:rPr>
          <w:spacing w:val="-2"/>
          <w:vertAlign w:val="baseline"/>
        </w:rPr>
        <w:t> </w:t>
      </w:r>
      <w:r>
        <w:rPr>
          <w:vertAlign w:val="baseline"/>
        </w:rPr>
        <w:t>the total</w:t>
      </w:r>
      <w:r>
        <w:rPr>
          <w:spacing w:val="-3"/>
          <w:vertAlign w:val="baseline"/>
        </w:rPr>
        <w:t> </w:t>
      </w:r>
      <w:r>
        <w:rPr>
          <w:vertAlign w:val="baseline"/>
        </w:rPr>
        <w:t>volume were tested and for each volume fraction the equivalent volume</w:t>
      </w:r>
      <w:r>
        <w:rPr>
          <w:spacing w:val="-2"/>
          <w:vertAlign w:val="baseline"/>
        </w:rPr>
        <w:t> </w:t>
      </w:r>
      <w:r>
        <w:rPr>
          <w:vertAlign w:val="baseline"/>
        </w:rPr>
        <w:t>of</w:t>
      </w:r>
      <w:r>
        <w:rPr>
          <w:spacing w:val="-8"/>
          <w:vertAlign w:val="baseline"/>
        </w:rPr>
        <w:t> </w:t>
      </w:r>
      <w:r>
        <w:rPr>
          <w:vertAlign w:val="baseline"/>
        </w:rPr>
        <w:t>regular fine</w:t>
      </w:r>
      <w:r>
        <w:rPr>
          <w:spacing w:val="-2"/>
          <w:vertAlign w:val="baseline"/>
        </w:rPr>
        <w:t> </w:t>
      </w:r>
      <w:r>
        <w:rPr>
          <w:vertAlign w:val="baseline"/>
        </w:rPr>
        <w:t>aggregate</w:t>
      </w:r>
      <w:r>
        <w:rPr>
          <w:spacing w:val="-2"/>
          <w:vertAlign w:val="baseline"/>
        </w:rPr>
        <w:t> </w:t>
      </w:r>
      <w:r>
        <w:rPr>
          <w:vertAlign w:val="baseline"/>
        </w:rPr>
        <w:t>(i.e., silica</w:t>
      </w:r>
      <w:r>
        <w:rPr>
          <w:spacing w:val="-2"/>
          <w:vertAlign w:val="baseline"/>
        </w:rPr>
        <w:t> </w:t>
      </w:r>
      <w:r>
        <w:rPr>
          <w:vertAlign w:val="baseline"/>
        </w:rPr>
        <w:t>sand) was</w:t>
      </w:r>
      <w:r>
        <w:rPr>
          <w:spacing w:val="-3"/>
          <w:vertAlign w:val="baseline"/>
        </w:rPr>
        <w:t> </w:t>
      </w:r>
      <w:r>
        <w:rPr>
          <w:vertAlign w:val="baseline"/>
        </w:rPr>
        <w:t>deducted</w:t>
      </w:r>
      <w:r>
        <w:rPr>
          <w:spacing w:val="-1"/>
          <w:vertAlign w:val="baseline"/>
        </w:rPr>
        <w:t> </w:t>
      </w:r>
      <w:r>
        <w:rPr>
          <w:vertAlign w:val="baseline"/>
        </w:rPr>
        <w:t>from</w:t>
      </w:r>
      <w:r>
        <w:rPr>
          <w:spacing w:val="-9"/>
          <w:vertAlign w:val="baseline"/>
        </w:rPr>
        <w:t> </w:t>
      </w:r>
      <w:r>
        <w:rPr>
          <w:vertAlign w:val="baseline"/>
        </w:rPr>
        <w:t>the mix</w:t>
      </w:r>
      <w:r>
        <w:rPr>
          <w:spacing w:val="-1"/>
          <w:vertAlign w:val="baseline"/>
        </w:rPr>
        <w:t> </w:t>
      </w:r>
      <w:r>
        <w:rPr>
          <w:vertAlign w:val="baseline"/>
        </w:rPr>
        <w:t>(i.e.,</w:t>
      </w:r>
      <w:r>
        <w:rPr>
          <w:spacing w:val="-4"/>
          <w:vertAlign w:val="baseline"/>
        </w:rPr>
        <w:t> </w:t>
      </w:r>
      <w:r>
        <w:rPr>
          <w:vertAlign w:val="baseline"/>
        </w:rPr>
        <w:t>the</w:t>
      </w:r>
      <w:r>
        <w:rPr>
          <w:spacing w:val="-2"/>
          <w:vertAlign w:val="baseline"/>
        </w:rPr>
        <w:t> </w:t>
      </w:r>
      <w:r>
        <w:rPr>
          <w:vertAlign w:val="baseline"/>
        </w:rPr>
        <w:t>amount</w:t>
      </w:r>
      <w:r>
        <w:rPr>
          <w:spacing w:val="-1"/>
          <w:vertAlign w:val="baseline"/>
        </w:rPr>
        <w:t> </w:t>
      </w:r>
      <w:r>
        <w:rPr>
          <w:vertAlign w:val="baseline"/>
        </w:rPr>
        <w:t>of </w:t>
      </w:r>
      <w:r>
        <w:rPr>
          <w:position w:val="2"/>
          <w:vertAlign w:val="baseline"/>
        </w:rPr>
        <w:t>silica</w:t>
      </w:r>
      <w:r>
        <w:rPr>
          <w:spacing w:val="-4"/>
          <w:position w:val="2"/>
          <w:vertAlign w:val="baseline"/>
        </w:rPr>
        <w:t> </w:t>
      </w:r>
      <w:r>
        <w:rPr>
          <w:position w:val="2"/>
          <w:vertAlign w:val="baseline"/>
        </w:rPr>
        <w:t>sand</w:t>
      </w:r>
      <w:r>
        <w:rPr>
          <w:spacing w:val="-3"/>
          <w:position w:val="2"/>
          <w:vertAlign w:val="baseline"/>
        </w:rPr>
        <w:t> </w:t>
      </w:r>
      <w:r>
        <w:rPr>
          <w:position w:val="2"/>
          <w:vertAlign w:val="baseline"/>
        </w:rPr>
        <w:t>used for </w:t>
      </w:r>
      <w:r>
        <w:rPr>
          <w:i/>
          <w:position w:val="2"/>
          <w:vertAlign w:val="baseline"/>
        </w:rPr>
        <w:t>v</w:t>
      </w:r>
      <w:r>
        <w:rPr>
          <w:i/>
          <w:sz w:val="16"/>
          <w:vertAlign w:val="baseline"/>
        </w:rPr>
        <w:t>f</w:t>
      </w:r>
      <w:r>
        <w:rPr>
          <w:i/>
          <w:spacing w:val="16"/>
          <w:sz w:val="16"/>
          <w:vertAlign w:val="baseline"/>
        </w:rPr>
        <w:t> </w:t>
      </w:r>
      <w:r>
        <w:rPr>
          <w:position w:val="2"/>
          <w:vertAlign w:val="baseline"/>
        </w:rPr>
        <w:t>=</w:t>
      </w:r>
      <w:r>
        <w:rPr>
          <w:spacing w:val="-4"/>
          <w:position w:val="2"/>
          <w:vertAlign w:val="baseline"/>
        </w:rPr>
        <w:t> </w:t>
      </w:r>
      <w:r>
        <w:rPr>
          <w:position w:val="2"/>
          <w:vertAlign w:val="baseline"/>
        </w:rPr>
        <w:t>7%,</w:t>
      </w:r>
      <w:r>
        <w:rPr>
          <w:spacing w:val="-5"/>
          <w:position w:val="2"/>
          <w:vertAlign w:val="baseline"/>
        </w:rPr>
        <w:t> </w:t>
      </w:r>
      <w:r>
        <w:rPr>
          <w:position w:val="2"/>
          <w:vertAlign w:val="baseline"/>
        </w:rPr>
        <w:t>14%,</w:t>
      </w:r>
      <w:r>
        <w:rPr>
          <w:spacing w:val="-1"/>
          <w:position w:val="2"/>
          <w:vertAlign w:val="baseline"/>
        </w:rPr>
        <w:t> </w:t>
      </w:r>
      <w:r>
        <w:rPr>
          <w:position w:val="2"/>
          <w:vertAlign w:val="baseline"/>
        </w:rPr>
        <w:t>21%,</w:t>
      </w:r>
      <w:r>
        <w:rPr>
          <w:spacing w:val="-1"/>
          <w:position w:val="2"/>
          <w:vertAlign w:val="baseline"/>
        </w:rPr>
        <w:t> </w:t>
      </w:r>
      <w:r>
        <w:rPr>
          <w:position w:val="2"/>
          <w:vertAlign w:val="baseline"/>
        </w:rPr>
        <w:t>and</w:t>
      </w:r>
      <w:r>
        <w:rPr>
          <w:spacing w:val="-3"/>
          <w:position w:val="2"/>
          <w:vertAlign w:val="baseline"/>
        </w:rPr>
        <w:t> </w:t>
      </w:r>
      <w:r>
        <w:rPr>
          <w:position w:val="2"/>
          <w:vertAlign w:val="baseline"/>
        </w:rPr>
        <w:t>28%</w:t>
      </w:r>
      <w:r>
        <w:rPr>
          <w:spacing w:val="-5"/>
          <w:position w:val="2"/>
          <w:vertAlign w:val="baseline"/>
        </w:rPr>
        <w:t> </w:t>
      </w:r>
      <w:r>
        <w:rPr>
          <w:position w:val="2"/>
          <w:vertAlign w:val="baseline"/>
        </w:rPr>
        <w:t>are</w:t>
      </w:r>
      <w:r>
        <w:rPr>
          <w:spacing w:val="-4"/>
          <w:position w:val="2"/>
          <w:vertAlign w:val="baseline"/>
        </w:rPr>
        <w:t> </w:t>
      </w:r>
      <w:r>
        <w:rPr>
          <w:position w:val="2"/>
          <w:vertAlign w:val="baseline"/>
        </w:rPr>
        <w:t>1138</w:t>
      </w:r>
      <w:r>
        <w:rPr>
          <w:spacing w:val="-3"/>
          <w:position w:val="2"/>
          <w:vertAlign w:val="baseline"/>
        </w:rPr>
        <w:t> </w:t>
      </w:r>
      <w:r>
        <w:rPr>
          <w:position w:val="2"/>
          <w:vertAlign w:val="baseline"/>
        </w:rPr>
        <w:t>kg/m</w:t>
      </w:r>
      <w:r>
        <w:rPr>
          <w:position w:val="2"/>
          <w:vertAlign w:val="superscript"/>
        </w:rPr>
        <w:t>3</w:t>
      </w:r>
      <w:r>
        <w:rPr>
          <w:position w:val="2"/>
          <w:vertAlign w:val="baseline"/>
        </w:rPr>
        <w:t>,</w:t>
      </w:r>
      <w:r>
        <w:rPr>
          <w:spacing w:val="-1"/>
          <w:position w:val="2"/>
          <w:vertAlign w:val="baseline"/>
        </w:rPr>
        <w:t> </w:t>
      </w:r>
      <w:r>
        <w:rPr>
          <w:position w:val="2"/>
          <w:vertAlign w:val="baseline"/>
        </w:rPr>
        <w:t>937</w:t>
      </w:r>
      <w:r>
        <w:rPr>
          <w:spacing w:val="-3"/>
          <w:position w:val="2"/>
          <w:vertAlign w:val="baseline"/>
        </w:rPr>
        <w:t> </w:t>
      </w:r>
      <w:r>
        <w:rPr>
          <w:position w:val="2"/>
          <w:vertAlign w:val="baseline"/>
        </w:rPr>
        <w:t>kg/m</w:t>
      </w:r>
      <w:r>
        <w:rPr>
          <w:position w:val="2"/>
          <w:vertAlign w:val="superscript"/>
        </w:rPr>
        <w:t>3</w:t>
      </w:r>
      <w:r>
        <w:rPr>
          <w:position w:val="2"/>
          <w:vertAlign w:val="baseline"/>
        </w:rPr>
        <w:t>,</w:t>
      </w:r>
      <w:r>
        <w:rPr>
          <w:spacing w:val="-1"/>
          <w:position w:val="2"/>
          <w:vertAlign w:val="baseline"/>
        </w:rPr>
        <w:t> </w:t>
      </w:r>
      <w:r>
        <w:rPr>
          <w:position w:val="2"/>
          <w:vertAlign w:val="baseline"/>
        </w:rPr>
        <w:t>716</w:t>
      </w:r>
      <w:r>
        <w:rPr>
          <w:spacing w:val="-3"/>
          <w:position w:val="2"/>
          <w:vertAlign w:val="baseline"/>
        </w:rPr>
        <w:t> </w:t>
      </w:r>
      <w:r>
        <w:rPr>
          <w:position w:val="2"/>
          <w:vertAlign w:val="baseline"/>
        </w:rPr>
        <w:t>kg/m</w:t>
      </w:r>
      <w:r>
        <w:rPr>
          <w:position w:val="2"/>
          <w:vertAlign w:val="superscript"/>
        </w:rPr>
        <w:t>3</w:t>
      </w:r>
      <w:r>
        <w:rPr>
          <w:position w:val="2"/>
          <w:vertAlign w:val="baseline"/>
        </w:rPr>
        <w:t>,</w:t>
      </w:r>
      <w:r>
        <w:rPr>
          <w:spacing w:val="-1"/>
          <w:position w:val="2"/>
          <w:vertAlign w:val="baseline"/>
        </w:rPr>
        <w:t> </w:t>
      </w:r>
      <w:r>
        <w:rPr>
          <w:position w:val="2"/>
          <w:vertAlign w:val="baseline"/>
        </w:rPr>
        <w:t>and</w:t>
      </w:r>
      <w:r>
        <w:rPr>
          <w:spacing w:val="-3"/>
          <w:position w:val="2"/>
          <w:vertAlign w:val="baseline"/>
        </w:rPr>
        <w:t> </w:t>
      </w:r>
      <w:r>
        <w:rPr>
          <w:position w:val="2"/>
          <w:vertAlign w:val="baseline"/>
        </w:rPr>
        <w:t>534 </w:t>
      </w:r>
      <w:r>
        <w:rPr>
          <w:vertAlign w:val="baseline"/>
        </w:rPr>
        <w:t>kg/m</w:t>
      </w:r>
      <w:r>
        <w:rPr>
          <w:vertAlign w:val="superscript"/>
        </w:rPr>
        <w:t>3</w:t>
      </w:r>
      <w:r>
        <w:rPr>
          <w:vertAlign w:val="baseline"/>
        </w:rPr>
        <w:t>, respectively). The air content of</w:t>
      </w:r>
      <w:r>
        <w:rPr>
          <w:spacing w:val="-2"/>
          <w:vertAlign w:val="baseline"/>
        </w:rPr>
        <w:t> </w:t>
      </w:r>
      <w:r>
        <w:rPr>
          <w:vertAlign w:val="baseline"/>
        </w:rPr>
        <w:t>fresh cement mortar was measured at 2-5% according to ASTM C185 – 15a, which does not account for the air contained within the closed pores of</w:t>
      </w:r>
      <w:r>
        <w:rPr>
          <w:spacing w:val="80"/>
          <w:vertAlign w:val="baseline"/>
        </w:rPr>
        <w:t> </w:t>
      </w:r>
      <w:r>
        <w:rPr>
          <w:spacing w:val="-4"/>
          <w:vertAlign w:val="baseline"/>
        </w:rPr>
        <w:t>LWF.</w:t>
      </w:r>
    </w:p>
    <w:p>
      <w:pPr>
        <w:pStyle w:val="BodyText"/>
        <w:spacing w:before="16"/>
        <w:ind w:right="383" w:firstLine="360"/>
      </w:pPr>
      <w:r>
        <w:rPr/>
        <w:t>Hollow</w:t>
      </w:r>
      <w:r>
        <w:rPr>
          <w:spacing w:val="-3"/>
        </w:rPr>
        <w:t> </w:t>
      </w:r>
      <w:r>
        <w:rPr/>
        <w:t>glass microsphere</w:t>
      </w:r>
      <w:r>
        <w:rPr>
          <w:spacing w:val="-3"/>
        </w:rPr>
        <w:t> </w:t>
      </w:r>
      <w:r>
        <w:rPr/>
        <w:t>(HGM)</w:t>
      </w:r>
      <w:r>
        <w:rPr>
          <w:spacing w:val="-1"/>
        </w:rPr>
        <w:t> </w:t>
      </w:r>
      <w:r>
        <w:rPr/>
        <w:t>bubbles</w:t>
      </w:r>
      <w:r>
        <w:rPr>
          <w:spacing w:val="-4"/>
        </w:rPr>
        <w:t> </w:t>
      </w:r>
      <w:r>
        <w:rPr/>
        <w:t>with</w:t>
      </w:r>
      <w:r>
        <w:rPr>
          <w:spacing w:val="-7"/>
        </w:rPr>
        <w:t> </w:t>
      </w:r>
      <w:r>
        <w:rPr/>
        <w:t>density</w:t>
      </w:r>
      <w:r>
        <w:rPr>
          <w:spacing w:val="-7"/>
        </w:rPr>
        <w:t> </w:t>
      </w:r>
      <w:r>
        <w:rPr/>
        <w:t>ranging from</w:t>
      </w:r>
      <w:r>
        <w:rPr>
          <w:spacing w:val="-11"/>
        </w:rPr>
        <w:t> </w:t>
      </w:r>
      <w:r>
        <w:rPr/>
        <w:t>0.25</w:t>
      </w:r>
      <w:r>
        <w:rPr>
          <w:spacing w:val="-2"/>
        </w:rPr>
        <w:t> </w:t>
      </w:r>
      <w:r>
        <w:rPr/>
        <w:t>g/cm</w:t>
      </w:r>
      <w:r>
        <w:rPr>
          <w:vertAlign w:val="superscript"/>
        </w:rPr>
        <w:t>3</w:t>
      </w:r>
      <w:r>
        <w:rPr>
          <w:vertAlign w:val="baseline"/>
        </w:rPr>
        <w:t> to</w:t>
      </w:r>
      <w:r>
        <w:rPr>
          <w:spacing w:val="-2"/>
          <w:vertAlign w:val="baseline"/>
        </w:rPr>
        <w:t> </w:t>
      </w:r>
      <w:r>
        <w:rPr>
          <w:vertAlign w:val="baseline"/>
        </w:rPr>
        <w:t>0.6</w:t>
      </w:r>
      <w:r>
        <w:rPr>
          <w:spacing w:val="-7"/>
          <w:vertAlign w:val="baseline"/>
        </w:rPr>
        <w:t> </w:t>
      </w:r>
      <w:r>
        <w:rPr>
          <w:vertAlign w:val="baseline"/>
        </w:rPr>
        <w:t>g/cm</w:t>
      </w:r>
      <w:r>
        <w:rPr>
          <w:vertAlign w:val="superscript"/>
        </w:rPr>
        <w:t>3</w:t>
      </w:r>
      <w:r>
        <w:rPr>
          <w:vertAlign w:val="baseline"/>
        </w:rPr>
        <w:t> were used for the mixes. The HGMs used in this research are produced by</w:t>
      </w:r>
      <w:r>
        <w:rPr>
          <w:spacing w:val="-1"/>
          <w:vertAlign w:val="baseline"/>
        </w:rPr>
        <w:t> </w:t>
      </w:r>
      <w:r>
        <w:rPr>
          <w:vertAlign w:val="baseline"/>
        </w:rPr>
        <w:t>3M</w:t>
      </w:r>
      <w:r>
        <w:rPr>
          <w:vertAlign w:val="superscript"/>
        </w:rPr>
        <w:t>TM</w:t>
      </w:r>
      <w:r>
        <w:rPr>
          <w:spacing w:val="-14"/>
          <w:vertAlign w:val="baseline"/>
        </w:rPr>
        <w:t> </w:t>
      </w:r>
      <w:r>
        <w:rPr>
          <w:vertAlign w:val="baseline"/>
        </w:rPr>
        <w:t>Advanced Materials. The average particle densities tested by</w:t>
      </w:r>
      <w:r>
        <w:rPr>
          <w:spacing w:val="-1"/>
          <w:vertAlign w:val="baseline"/>
        </w:rPr>
        <w:t> </w:t>
      </w:r>
      <w:r>
        <w:rPr>
          <w:vertAlign w:val="baseline"/>
        </w:rPr>
        <w:t>gas pycnometry for HGM K25, S38HS, and S60 are 0.25 g/cm</w:t>
      </w:r>
      <w:r>
        <w:rPr>
          <w:vertAlign w:val="superscript"/>
        </w:rPr>
        <w:t>3</w:t>
      </w:r>
      <w:r>
        <w:rPr>
          <w:vertAlign w:val="baseline"/>
        </w:rPr>
        <w:t>, 0.38 g/cm</w:t>
      </w:r>
      <w:r>
        <w:rPr>
          <w:vertAlign w:val="superscript"/>
        </w:rPr>
        <w:t>3</w:t>
      </w:r>
      <w:r>
        <w:rPr>
          <w:vertAlign w:val="baseline"/>
        </w:rPr>
        <w:t>, and 0.60 g/cm</w:t>
      </w:r>
      <w:r>
        <w:rPr>
          <w:vertAlign w:val="superscript"/>
        </w:rPr>
        <w:t>3</w:t>
      </w:r>
      <w:r>
        <w:rPr>
          <w:vertAlign w:val="baseline"/>
        </w:rPr>
        <w:t>, respectively. The microspheres also have different particle size (in descending order), wall</w:t>
      </w:r>
      <w:r>
        <w:rPr>
          <w:spacing w:val="-2"/>
          <w:vertAlign w:val="baseline"/>
        </w:rPr>
        <w:t> </w:t>
      </w:r>
      <w:r>
        <w:rPr>
          <w:vertAlign w:val="baseline"/>
        </w:rPr>
        <w:t>thickness, and isostatic crush strength as listed</w:t>
      </w:r>
    </w:p>
    <w:p>
      <w:pPr>
        <w:pStyle w:val="BodyText"/>
        <w:spacing w:after="0"/>
        <w:sectPr>
          <w:pgSz w:w="12240" w:h="15840"/>
          <w:pgMar w:header="720" w:footer="746" w:top="1340" w:bottom="940" w:left="1440" w:right="1080"/>
        </w:sectPr>
      </w:pPr>
    </w:p>
    <w:p>
      <w:pPr>
        <w:pStyle w:val="BodyText"/>
        <w:spacing w:before="80"/>
        <w:ind w:right="322"/>
      </w:pPr>
      <w:r>
        <w:rPr/>
        <mc:AlternateContent>
          <mc:Choice Requires="wps">
            <w:drawing>
              <wp:anchor distT="0" distB="0" distL="0" distR="0" allowOverlap="1" layoutInCell="1" locked="0" behindDoc="0" simplePos="0" relativeHeight="15735296">
                <wp:simplePos x="0" y="0"/>
                <wp:positionH relativeFrom="page">
                  <wp:posOffset>-1637</wp:posOffset>
                </wp:positionH>
                <wp:positionV relativeFrom="page">
                  <wp:posOffset>2272607</wp:posOffset>
                </wp:positionV>
                <wp:extent cx="138430" cy="551370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5296" type="#_x0000_t202" id="docshape20"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in Table 1. The particle sizes were tested by laser diffraction and reported by</w:t>
      </w:r>
      <w:r>
        <w:rPr>
          <w:spacing w:val="-5"/>
        </w:rPr>
        <w:t> </w:t>
      </w:r>
      <w:r>
        <w:rPr/>
        <w:t>the manufacturer. The isostatic</w:t>
      </w:r>
      <w:r>
        <w:rPr>
          <w:spacing w:val="-3"/>
        </w:rPr>
        <w:t> </w:t>
      </w:r>
      <w:r>
        <w:rPr/>
        <w:t>crush</w:t>
      </w:r>
      <w:r>
        <w:rPr>
          <w:spacing w:val="-7"/>
        </w:rPr>
        <w:t> </w:t>
      </w:r>
      <w:r>
        <w:rPr/>
        <w:t>strength</w:t>
      </w:r>
      <w:r>
        <w:rPr>
          <w:spacing w:val="-7"/>
        </w:rPr>
        <w:t> </w:t>
      </w:r>
      <w:r>
        <w:rPr/>
        <w:t>refers</w:t>
      </w:r>
      <w:r>
        <w:rPr>
          <w:spacing w:val="-4"/>
        </w:rPr>
        <w:t> </w:t>
      </w:r>
      <w:r>
        <w:rPr/>
        <w:t>to</w:t>
      </w:r>
      <w:r>
        <w:rPr>
          <w:spacing w:val="-2"/>
        </w:rPr>
        <w:t> </w:t>
      </w:r>
      <w:r>
        <w:rPr/>
        <w:t>the</w:t>
      </w:r>
      <w:r>
        <w:rPr>
          <w:spacing w:val="-3"/>
        </w:rPr>
        <w:t> </w:t>
      </w:r>
      <w:r>
        <w:rPr/>
        <w:t>pressure</w:t>
      </w:r>
      <w:r>
        <w:rPr>
          <w:spacing w:val="-3"/>
        </w:rPr>
        <w:t> </w:t>
      </w:r>
      <w:r>
        <w:rPr/>
        <w:t>at</w:t>
      </w:r>
      <w:r>
        <w:rPr>
          <w:spacing w:val="-2"/>
        </w:rPr>
        <w:t> </w:t>
      </w:r>
      <w:r>
        <w:rPr/>
        <w:t>which</w:t>
      </w:r>
      <w:r>
        <w:rPr>
          <w:spacing w:val="-7"/>
        </w:rPr>
        <w:t> </w:t>
      </w:r>
      <w:r>
        <w:rPr/>
        <w:t>an</w:t>
      </w:r>
      <w:r>
        <w:rPr>
          <w:spacing w:val="-7"/>
        </w:rPr>
        <w:t> </w:t>
      </w:r>
      <w:r>
        <w:rPr/>
        <w:t>average lot</w:t>
      </w:r>
      <w:r>
        <w:rPr>
          <w:spacing w:val="-2"/>
        </w:rPr>
        <w:t> </w:t>
      </w:r>
      <w:r>
        <w:rPr/>
        <w:t>of</w:t>
      </w:r>
      <w:r>
        <w:rPr>
          <w:spacing w:val="-5"/>
        </w:rPr>
        <w:t> </w:t>
      </w:r>
      <w:r>
        <w:rPr/>
        <w:t>material</w:t>
      </w:r>
      <w:r>
        <w:rPr>
          <w:spacing w:val="-7"/>
        </w:rPr>
        <w:t> </w:t>
      </w:r>
      <w:r>
        <w:rPr/>
        <w:t>has</w:t>
      </w:r>
      <w:r>
        <w:rPr>
          <w:spacing w:val="-4"/>
        </w:rPr>
        <w:t> </w:t>
      </w:r>
      <w:r>
        <w:rPr/>
        <w:t>90%</w:t>
      </w:r>
      <w:r>
        <w:rPr>
          <w:spacing w:val="-1"/>
        </w:rPr>
        <w:t> </w:t>
      </w:r>
      <w:r>
        <w:rPr/>
        <w:t>or higher survival (3M, 2009).</w:t>
      </w:r>
    </w:p>
    <w:p>
      <w:pPr>
        <w:pStyle w:val="BodyText"/>
        <w:spacing w:before="11"/>
        <w:rPr>
          <w:sz w:val="15"/>
        </w:rPr>
      </w:pPr>
      <w:r>
        <w:rPr>
          <w:sz w:val="15"/>
        </w:rPr>
        <w:drawing>
          <wp:anchor distT="0" distB="0" distL="0" distR="0" allowOverlap="1" layoutInCell="1" locked="0" behindDoc="1" simplePos="0" relativeHeight="487593984">
            <wp:simplePos x="0" y="0"/>
            <wp:positionH relativeFrom="page">
              <wp:posOffset>1771650</wp:posOffset>
            </wp:positionH>
            <wp:positionV relativeFrom="paragraph">
              <wp:posOffset>131786</wp:posOffset>
            </wp:positionV>
            <wp:extent cx="4253264" cy="2393061"/>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2" cstate="print"/>
                    <a:stretch>
                      <a:fillRect/>
                    </a:stretch>
                  </pic:blipFill>
                  <pic:spPr>
                    <a:xfrm>
                      <a:off x="0" y="0"/>
                      <a:ext cx="4253264" cy="2393061"/>
                    </a:xfrm>
                    <a:prstGeom prst="rect">
                      <a:avLst/>
                    </a:prstGeom>
                  </pic:spPr>
                </pic:pic>
              </a:graphicData>
            </a:graphic>
          </wp:anchor>
        </w:drawing>
      </w:r>
    </w:p>
    <w:p>
      <w:pPr>
        <w:pStyle w:val="Heading2"/>
        <w:spacing w:line="242" w:lineRule="auto"/>
        <w:ind w:left="2262" w:hanging="2214"/>
      </w:pPr>
      <w:r>
        <w:rPr/>
        <w:t>Figure</w:t>
      </w:r>
      <w:r>
        <w:rPr>
          <w:spacing w:val="-4"/>
        </w:rPr>
        <w:t> </w:t>
      </w:r>
      <w:r>
        <w:rPr/>
        <w:t>3.</w:t>
      </w:r>
      <w:r>
        <w:rPr>
          <w:spacing w:val="-2"/>
        </w:rPr>
        <w:t> </w:t>
      </w:r>
      <w:r>
        <w:rPr/>
        <w:t>(a)</w:t>
      </w:r>
      <w:r>
        <w:rPr>
          <w:spacing w:val="-6"/>
        </w:rPr>
        <w:t> </w:t>
      </w:r>
      <w:r>
        <w:rPr/>
        <w:t>Mechanical</w:t>
      </w:r>
      <w:r>
        <w:rPr>
          <w:spacing w:val="-8"/>
        </w:rPr>
        <w:t> </w:t>
      </w:r>
      <w:r>
        <w:rPr/>
        <w:t>test</w:t>
      </w:r>
      <w:r>
        <w:rPr>
          <w:spacing w:val="-2"/>
        </w:rPr>
        <w:t> </w:t>
      </w:r>
      <w:r>
        <w:rPr/>
        <w:t>setup</w:t>
      </w:r>
      <w:r>
        <w:rPr>
          <w:spacing w:val="-7"/>
        </w:rPr>
        <w:t> </w:t>
      </w:r>
      <w:r>
        <w:rPr/>
        <w:t>for</w:t>
      </w:r>
      <w:r>
        <w:rPr>
          <w:spacing w:val="-9"/>
        </w:rPr>
        <w:t> </w:t>
      </w:r>
      <w:r>
        <w:rPr/>
        <w:t>LWCC</w:t>
      </w:r>
      <w:r>
        <w:rPr>
          <w:spacing w:val="-4"/>
        </w:rPr>
        <w:t> </w:t>
      </w:r>
      <w:r>
        <w:rPr/>
        <w:t>cylinders,</w:t>
      </w:r>
      <w:r>
        <w:rPr>
          <w:spacing w:val="-2"/>
        </w:rPr>
        <w:t> </w:t>
      </w:r>
      <w:r>
        <w:rPr/>
        <w:t>and</w:t>
      </w:r>
      <w:r>
        <w:rPr>
          <w:spacing w:val="-3"/>
        </w:rPr>
        <w:t> </w:t>
      </w:r>
      <w:r>
        <w:rPr/>
        <w:t>(b)</w:t>
      </w:r>
      <w:r>
        <w:rPr>
          <w:spacing w:val="-2"/>
        </w:rPr>
        <w:t> </w:t>
      </w:r>
      <w:r>
        <w:rPr/>
        <w:t>the</w:t>
      </w:r>
      <w:r>
        <w:rPr>
          <w:spacing w:val="-4"/>
        </w:rPr>
        <w:t> </w:t>
      </w:r>
      <w:r>
        <w:rPr/>
        <w:t>transient</w:t>
      </w:r>
      <w:r>
        <w:rPr>
          <w:spacing w:val="-2"/>
        </w:rPr>
        <w:t> </w:t>
      </w:r>
      <w:r>
        <w:rPr/>
        <w:t>plane</w:t>
      </w:r>
      <w:r>
        <w:rPr>
          <w:spacing w:val="-4"/>
        </w:rPr>
        <w:t> </w:t>
      </w:r>
      <w:r>
        <w:rPr/>
        <w:t>source (TPS) tests for determining thermal properties.</w:t>
      </w:r>
    </w:p>
    <w:p>
      <w:pPr>
        <w:pStyle w:val="BodyText"/>
        <w:spacing w:before="169"/>
        <w:ind w:right="391" w:firstLine="360"/>
      </w:pPr>
      <w:r>
        <w:rPr/>
        <w:t>Two types of</w:t>
      </w:r>
      <w:r>
        <w:rPr>
          <w:spacing w:val="-1"/>
        </w:rPr>
        <w:t> </w:t>
      </w:r>
      <w:r>
        <w:rPr/>
        <w:t>cenospheres with particle sizes up to 106 μm</w:t>
      </w:r>
      <w:r>
        <w:rPr>
          <w:spacing w:val="-2"/>
        </w:rPr>
        <w:t> </w:t>
      </w:r>
      <w:r>
        <w:rPr/>
        <w:t>(E106) and 600 μm</w:t>
      </w:r>
      <w:r>
        <w:rPr>
          <w:spacing w:val="-2"/>
        </w:rPr>
        <w:t> </w:t>
      </w:r>
      <w:r>
        <w:rPr/>
        <w:t>(E200/600) are</w:t>
      </w:r>
      <w:r>
        <w:rPr>
          <w:spacing w:val="-3"/>
        </w:rPr>
        <w:t> </w:t>
      </w:r>
      <w:r>
        <w:rPr/>
        <w:t>studied in</w:t>
      </w:r>
      <w:r>
        <w:rPr>
          <w:spacing w:val="-7"/>
        </w:rPr>
        <w:t> </w:t>
      </w:r>
      <w:r>
        <w:rPr/>
        <w:t>this</w:t>
      </w:r>
      <w:r>
        <w:rPr>
          <w:spacing w:val="-4"/>
        </w:rPr>
        <w:t> </w:t>
      </w:r>
      <w:r>
        <w:rPr/>
        <w:t>research. X-ray</w:t>
      </w:r>
      <w:r>
        <w:rPr>
          <w:spacing w:val="-12"/>
        </w:rPr>
        <w:t> </w:t>
      </w:r>
      <w:r>
        <w:rPr/>
        <w:t>Diffraction</w:t>
      </w:r>
      <w:r>
        <w:rPr>
          <w:spacing w:val="-7"/>
        </w:rPr>
        <w:t> </w:t>
      </w:r>
      <w:r>
        <w:rPr/>
        <w:t>(XRD)</w:t>
      </w:r>
      <w:r>
        <w:rPr>
          <w:spacing w:val="-2"/>
        </w:rPr>
        <w:t> </w:t>
      </w:r>
      <w:r>
        <w:rPr/>
        <w:t>analysis</w:t>
      </w:r>
      <w:r>
        <w:rPr>
          <w:spacing w:val="-4"/>
        </w:rPr>
        <w:t> </w:t>
      </w:r>
      <w:r>
        <w:rPr/>
        <w:t>performed</w:t>
      </w:r>
      <w:r>
        <w:rPr>
          <w:spacing w:val="-3"/>
        </w:rPr>
        <w:t> </w:t>
      </w:r>
      <w:r>
        <w:rPr/>
        <w:t>on</w:t>
      </w:r>
      <w:r>
        <w:rPr>
          <w:spacing w:val="-7"/>
        </w:rPr>
        <w:t> </w:t>
      </w:r>
      <w:r>
        <w:rPr/>
        <w:t>the</w:t>
      </w:r>
      <w:r>
        <w:rPr>
          <w:spacing w:val="-3"/>
        </w:rPr>
        <w:t> </w:t>
      </w:r>
      <w:r>
        <w:rPr/>
        <w:t>FACs</w:t>
      </w:r>
      <w:r>
        <w:rPr>
          <w:spacing w:val="-1"/>
        </w:rPr>
        <w:t> </w:t>
      </w:r>
      <w:r>
        <w:rPr/>
        <w:t>indicated </w:t>
      </w:r>
      <w:r>
        <w:rPr>
          <w:position w:val="2"/>
        </w:rPr>
        <w:t>that the cenospheres are comprised primarily</w:t>
      </w:r>
      <w:r>
        <w:rPr>
          <w:spacing w:val="-1"/>
          <w:position w:val="2"/>
        </w:rPr>
        <w:t> </w:t>
      </w:r>
      <w:r>
        <w:rPr>
          <w:position w:val="2"/>
        </w:rPr>
        <w:t>of</w:t>
      </w:r>
      <w:r>
        <w:rPr>
          <w:spacing w:val="-4"/>
          <w:position w:val="2"/>
        </w:rPr>
        <w:t> </w:t>
      </w:r>
      <w:r>
        <w:rPr>
          <w:position w:val="2"/>
        </w:rPr>
        <w:t>SiO</w:t>
      </w:r>
      <w:r>
        <w:rPr>
          <w:sz w:val="16"/>
        </w:rPr>
        <w:t>2</w:t>
      </w:r>
      <w:r>
        <w:rPr>
          <w:spacing w:val="26"/>
          <w:sz w:val="16"/>
        </w:rPr>
        <w:t> </w:t>
      </w:r>
      <w:r>
        <w:rPr>
          <w:position w:val="2"/>
        </w:rPr>
        <w:t>and Al</w:t>
      </w:r>
      <w:r>
        <w:rPr>
          <w:sz w:val="16"/>
        </w:rPr>
        <w:t>2</w:t>
      </w:r>
      <w:r>
        <w:rPr>
          <w:position w:val="2"/>
        </w:rPr>
        <w:t>O</w:t>
      </w:r>
      <w:r>
        <w:rPr>
          <w:sz w:val="16"/>
        </w:rPr>
        <w:t>3</w:t>
      </w:r>
      <w:r>
        <w:rPr>
          <w:position w:val="2"/>
        </w:rPr>
        <w:t>, and there is a large amount of </w:t>
      </w:r>
      <w:r>
        <w:rPr/>
        <w:t>amorphous materials with small amounts of mullite and calcite. The E200/600 also contains small amount of quartz. The particle size distributions were tested using a laser diffraction particle size analyzer (Horiba LA-950) and the particle size distributions</w:t>
      </w:r>
      <w:r>
        <w:rPr>
          <w:spacing w:val="-1"/>
        </w:rPr>
        <w:t> </w:t>
      </w:r>
      <w:r>
        <w:rPr/>
        <w:t>are plotted</w:t>
      </w:r>
      <w:r>
        <w:rPr>
          <w:spacing w:val="-4"/>
        </w:rPr>
        <w:t> </w:t>
      </w:r>
      <w:r>
        <w:rPr/>
        <w:t>in</w:t>
      </w:r>
      <w:r>
        <w:rPr>
          <w:spacing w:val="-4"/>
        </w:rPr>
        <w:t> </w:t>
      </w:r>
      <w:r>
        <w:rPr/>
        <w:t>Figure 2</w:t>
      </w:r>
    </w:p>
    <w:p>
      <w:pPr>
        <w:pStyle w:val="BodyText"/>
        <w:ind w:right="720"/>
        <w:jc w:val="both"/>
      </w:pPr>
      <w:r>
        <w:rPr/>
        <w:t>(a). The particle shell</w:t>
      </w:r>
      <w:r>
        <w:rPr>
          <w:spacing w:val="-1"/>
        </w:rPr>
        <w:t> </w:t>
      </w:r>
      <w:r>
        <w:rPr/>
        <w:t>thicknesses were measured using scanning electron</w:t>
      </w:r>
      <w:r>
        <w:rPr>
          <w:spacing w:val="-1"/>
        </w:rPr>
        <w:t> </w:t>
      </w:r>
      <w:r>
        <w:rPr/>
        <w:t>microscopy</w:t>
      </w:r>
      <w:r>
        <w:rPr>
          <w:spacing w:val="-6"/>
        </w:rPr>
        <w:t> </w:t>
      </w:r>
      <w:r>
        <w:rPr/>
        <w:t>(SEM) imaging where the particles</w:t>
      </w:r>
      <w:r>
        <w:rPr>
          <w:spacing w:val="-1"/>
        </w:rPr>
        <w:t> </w:t>
      </w:r>
      <w:r>
        <w:rPr/>
        <w:t>were embedded in epoxy</w:t>
      </w:r>
      <w:r>
        <w:rPr>
          <w:spacing w:val="-4"/>
        </w:rPr>
        <w:t> </w:t>
      </w:r>
      <w:r>
        <w:rPr/>
        <w:t>and grinded using a Buehler EcoMet</w:t>
      </w:r>
      <w:r>
        <w:rPr>
          <w:vertAlign w:val="superscript"/>
        </w:rPr>
        <w:t>TM</w:t>
      </w:r>
      <w:r>
        <w:rPr>
          <w:vertAlign w:val="baseline"/>
        </w:rPr>
        <w:t> grinder/polisher</w:t>
      </w:r>
      <w:r>
        <w:rPr>
          <w:spacing w:val="-1"/>
          <w:vertAlign w:val="baseline"/>
        </w:rPr>
        <w:t> </w:t>
      </w:r>
      <w:r>
        <w:rPr>
          <w:vertAlign w:val="baseline"/>
        </w:rPr>
        <w:t>to</w:t>
      </w:r>
      <w:r>
        <w:rPr>
          <w:spacing w:val="-2"/>
          <w:vertAlign w:val="baseline"/>
        </w:rPr>
        <w:t> </w:t>
      </w:r>
      <w:r>
        <w:rPr>
          <w:vertAlign w:val="baseline"/>
        </w:rPr>
        <w:t>expose</w:t>
      </w:r>
      <w:r>
        <w:rPr>
          <w:spacing w:val="-8"/>
          <w:vertAlign w:val="baseline"/>
        </w:rPr>
        <w:t> </w:t>
      </w:r>
      <w:r>
        <w:rPr>
          <w:vertAlign w:val="baseline"/>
        </w:rPr>
        <w:t>the</w:t>
      </w:r>
      <w:r>
        <w:rPr>
          <w:spacing w:val="-3"/>
          <w:vertAlign w:val="baseline"/>
        </w:rPr>
        <w:t> </w:t>
      </w:r>
      <w:r>
        <w:rPr>
          <w:vertAlign w:val="baseline"/>
        </w:rPr>
        <w:t>section</w:t>
      </w:r>
      <w:r>
        <w:rPr>
          <w:spacing w:val="-7"/>
          <w:vertAlign w:val="baseline"/>
        </w:rPr>
        <w:t> </w:t>
      </w:r>
      <w:r>
        <w:rPr>
          <w:vertAlign w:val="baseline"/>
        </w:rPr>
        <w:t>of</w:t>
      </w:r>
      <w:r>
        <w:rPr>
          <w:spacing w:val="-10"/>
          <w:vertAlign w:val="baseline"/>
        </w:rPr>
        <w:t> </w:t>
      </w:r>
      <w:r>
        <w:rPr>
          <w:vertAlign w:val="baseline"/>
        </w:rPr>
        <w:t>the</w:t>
      </w:r>
      <w:r>
        <w:rPr>
          <w:spacing w:val="-3"/>
          <w:vertAlign w:val="baseline"/>
        </w:rPr>
        <w:t> </w:t>
      </w:r>
      <w:r>
        <w:rPr>
          <w:vertAlign w:val="baseline"/>
        </w:rPr>
        <w:t>FAC</w:t>
      </w:r>
      <w:r>
        <w:rPr>
          <w:spacing w:val="-4"/>
          <w:vertAlign w:val="baseline"/>
        </w:rPr>
        <w:t> </w:t>
      </w:r>
      <w:r>
        <w:rPr>
          <w:vertAlign w:val="baseline"/>
        </w:rPr>
        <w:t>shell. Figure</w:t>
      </w:r>
      <w:r>
        <w:rPr>
          <w:spacing w:val="-3"/>
          <w:vertAlign w:val="baseline"/>
        </w:rPr>
        <w:t> </w:t>
      </w:r>
      <w:r>
        <w:rPr>
          <w:vertAlign w:val="baseline"/>
        </w:rPr>
        <w:t>2</w:t>
      </w:r>
      <w:r>
        <w:rPr>
          <w:spacing w:val="-2"/>
          <w:vertAlign w:val="baseline"/>
        </w:rPr>
        <w:t> </w:t>
      </w:r>
      <w:r>
        <w:rPr>
          <w:vertAlign w:val="baseline"/>
        </w:rPr>
        <w:t>(b)</w:t>
      </w:r>
      <w:r>
        <w:rPr>
          <w:spacing w:val="-1"/>
          <w:vertAlign w:val="baseline"/>
        </w:rPr>
        <w:t> </w:t>
      </w:r>
      <w:r>
        <w:rPr>
          <w:vertAlign w:val="baseline"/>
        </w:rPr>
        <w:t>presents</w:t>
      </w:r>
      <w:r>
        <w:rPr>
          <w:spacing w:val="-9"/>
          <w:vertAlign w:val="baseline"/>
        </w:rPr>
        <w:t> </w:t>
      </w:r>
      <w:r>
        <w:rPr>
          <w:vertAlign w:val="baseline"/>
        </w:rPr>
        <w:t>the</w:t>
      </w:r>
      <w:r>
        <w:rPr>
          <w:spacing w:val="-3"/>
          <w:vertAlign w:val="baseline"/>
        </w:rPr>
        <w:t> </w:t>
      </w:r>
      <w:r>
        <w:rPr>
          <w:vertAlign w:val="baseline"/>
        </w:rPr>
        <w:t>SEM</w:t>
      </w:r>
      <w:r>
        <w:rPr>
          <w:spacing w:val="-4"/>
          <w:vertAlign w:val="baseline"/>
        </w:rPr>
        <w:t> </w:t>
      </w:r>
      <w:r>
        <w:rPr>
          <w:vertAlign w:val="baseline"/>
        </w:rPr>
        <w:t>images showing the surface morphologies of each type of FAC particles studied herein.</w:t>
      </w:r>
    </w:p>
    <w:p>
      <w:pPr>
        <w:pStyle w:val="Heading2"/>
        <w:spacing w:before="205"/>
      </w:pPr>
      <w:r>
        <w:rPr/>
        <w:t>Mechanical</w:t>
      </w:r>
      <w:r>
        <w:rPr>
          <w:spacing w:val="-6"/>
        </w:rPr>
        <w:t> </w:t>
      </w:r>
      <w:r>
        <w:rPr/>
        <w:t>and</w:t>
      </w:r>
      <w:r>
        <w:rPr>
          <w:spacing w:val="-1"/>
        </w:rPr>
        <w:t> </w:t>
      </w:r>
      <w:r>
        <w:rPr/>
        <w:t>Thermal</w:t>
      </w:r>
      <w:r>
        <w:rPr>
          <w:spacing w:val="-5"/>
        </w:rPr>
        <w:t> </w:t>
      </w:r>
      <w:r>
        <w:rPr>
          <w:spacing w:val="-2"/>
        </w:rPr>
        <w:t>Testing</w:t>
      </w:r>
    </w:p>
    <w:p>
      <w:pPr>
        <w:pStyle w:val="BodyText"/>
        <w:spacing w:before="194"/>
        <w:ind w:right="510" w:firstLine="360"/>
      </w:pPr>
      <w:r>
        <w:rPr/>
        <w:t>Mechanical properties of the LWCC mortar mixtures were tested using a MTS-810 servo- hydraulic</w:t>
      </w:r>
      <w:r>
        <w:rPr>
          <w:spacing w:val="-3"/>
        </w:rPr>
        <w:t> </w:t>
      </w:r>
      <w:r>
        <w:rPr/>
        <w:t>universal</w:t>
      </w:r>
      <w:r>
        <w:rPr>
          <w:spacing w:val="-11"/>
        </w:rPr>
        <w:t> </w:t>
      </w:r>
      <w:r>
        <w:rPr/>
        <w:t>testing</w:t>
      </w:r>
      <w:r>
        <w:rPr>
          <w:spacing w:val="-2"/>
        </w:rPr>
        <w:t> </w:t>
      </w:r>
      <w:r>
        <w:rPr/>
        <w:t>system.</w:t>
      </w:r>
      <w:r>
        <w:rPr>
          <w:spacing w:val="-1"/>
        </w:rPr>
        <w:t> </w:t>
      </w:r>
      <w:r>
        <w:rPr/>
        <w:t>The loading</w:t>
      </w:r>
      <w:r>
        <w:rPr>
          <w:spacing w:val="-2"/>
        </w:rPr>
        <w:t> </w:t>
      </w:r>
      <w:r>
        <w:rPr/>
        <w:t>was</w:t>
      </w:r>
      <w:r>
        <w:rPr>
          <w:spacing w:val="-4"/>
        </w:rPr>
        <w:t> </w:t>
      </w:r>
      <w:r>
        <w:rPr/>
        <w:t>carried</w:t>
      </w:r>
      <w:r>
        <w:rPr>
          <w:spacing w:val="-2"/>
        </w:rPr>
        <w:t> </w:t>
      </w:r>
      <w:r>
        <w:rPr/>
        <w:t>out in</w:t>
      </w:r>
      <w:r>
        <w:rPr>
          <w:spacing w:val="-7"/>
        </w:rPr>
        <w:t> </w:t>
      </w:r>
      <w:r>
        <w:rPr/>
        <w:t>a</w:t>
      </w:r>
      <w:r>
        <w:rPr>
          <w:spacing w:val="-3"/>
        </w:rPr>
        <w:t> </w:t>
      </w:r>
      <w:r>
        <w:rPr/>
        <w:t>displacement-control</w:t>
      </w:r>
      <w:r>
        <w:rPr>
          <w:spacing w:val="-7"/>
        </w:rPr>
        <w:t> </w:t>
      </w:r>
      <w:r>
        <w:rPr/>
        <w:t>mode at the loading rate</w:t>
      </w:r>
      <w:r>
        <w:rPr>
          <w:spacing w:val="-1"/>
        </w:rPr>
        <w:t> </w:t>
      </w:r>
      <w:r>
        <w:rPr/>
        <w:t>of</w:t>
      </w:r>
      <w:r>
        <w:rPr>
          <w:spacing w:val="-6"/>
        </w:rPr>
        <w:t> </w:t>
      </w:r>
      <w:r>
        <w:rPr/>
        <w:t>0.01 mm/min. Five 50 mm</w:t>
      </w:r>
      <w:r>
        <w:rPr>
          <w:spacing w:val="-3"/>
        </w:rPr>
        <w:t> </w:t>
      </w:r>
      <w:r>
        <w:rPr/>
        <w:t>diameter by</w:t>
      </w:r>
      <w:r>
        <w:rPr>
          <w:spacing w:val="-8"/>
        </w:rPr>
        <w:t> </w:t>
      </w:r>
      <w:r>
        <w:rPr/>
        <w:t>100 mm</w:t>
      </w:r>
      <w:r>
        <w:rPr>
          <w:spacing w:val="-3"/>
        </w:rPr>
        <w:t> </w:t>
      </w:r>
      <w:r>
        <w:rPr/>
        <w:t>tall</w:t>
      </w:r>
      <w:r>
        <w:rPr>
          <w:spacing w:val="-7"/>
        </w:rPr>
        <w:t> </w:t>
      </w:r>
      <w:r>
        <w:rPr/>
        <w:t>cylinders were tested for each mixture group. A CCD camera was staged to record</w:t>
      </w:r>
      <w:r>
        <w:rPr>
          <w:spacing w:val="-2"/>
        </w:rPr>
        <w:t> </w:t>
      </w:r>
      <w:r>
        <w:rPr/>
        <w:t>the damage and failure of the specimens. The mechanical test setup is shown in Figure 3 (a).</w:t>
      </w:r>
    </w:p>
    <w:p>
      <w:pPr>
        <w:pStyle w:val="BodyText"/>
        <w:ind w:right="510" w:firstLine="360"/>
      </w:pPr>
      <w:r>
        <w:rPr/>
        <w:t>The thermal properties (i.e., thermal conductivity and volumetric heat capacity) of LWCC were</w:t>
      </w:r>
      <w:r>
        <w:rPr>
          <w:spacing w:val="-4"/>
        </w:rPr>
        <w:t> </w:t>
      </w:r>
      <w:r>
        <w:rPr/>
        <w:t>tested</w:t>
      </w:r>
      <w:r>
        <w:rPr>
          <w:spacing w:val="-3"/>
        </w:rPr>
        <w:t> </w:t>
      </w:r>
      <w:r>
        <w:rPr/>
        <w:t>using</w:t>
      </w:r>
      <w:r>
        <w:rPr>
          <w:spacing w:val="-3"/>
        </w:rPr>
        <w:t> </w:t>
      </w:r>
      <w:r>
        <w:rPr/>
        <w:t>the</w:t>
      </w:r>
      <w:r>
        <w:rPr>
          <w:spacing w:val="-4"/>
        </w:rPr>
        <w:t> </w:t>
      </w:r>
      <w:r>
        <w:rPr/>
        <w:t>Transient Plant Source</w:t>
      </w:r>
      <w:r>
        <w:rPr>
          <w:spacing w:val="-4"/>
        </w:rPr>
        <w:t> </w:t>
      </w:r>
      <w:r>
        <w:rPr/>
        <w:t>(TPS)</w:t>
      </w:r>
      <w:r>
        <w:rPr>
          <w:spacing w:val="-6"/>
        </w:rPr>
        <w:t> </w:t>
      </w:r>
      <w:r>
        <w:rPr/>
        <w:t>method</w:t>
      </w:r>
      <w:r>
        <w:rPr>
          <w:spacing w:val="-3"/>
        </w:rPr>
        <w:t> </w:t>
      </w:r>
      <w:r>
        <w:rPr/>
        <w:t>(ISO</w:t>
      </w:r>
      <w:r>
        <w:rPr>
          <w:spacing w:val="-1"/>
        </w:rPr>
        <w:t> </w:t>
      </w:r>
      <w:r>
        <w:rPr/>
        <w:t>2008).</w:t>
      </w:r>
      <w:r>
        <w:rPr>
          <w:spacing w:val="-6"/>
        </w:rPr>
        <w:t> </w:t>
      </w:r>
      <w:r>
        <w:rPr/>
        <w:t>The</w:t>
      </w:r>
      <w:r>
        <w:rPr>
          <w:spacing w:val="-4"/>
        </w:rPr>
        <w:t> </w:t>
      </w:r>
      <w:r>
        <w:rPr/>
        <w:t>TPS</w:t>
      </w:r>
      <w:r>
        <w:rPr>
          <w:spacing w:val="-7"/>
        </w:rPr>
        <w:t> </w:t>
      </w:r>
      <w:r>
        <w:rPr/>
        <w:t>method</w:t>
      </w:r>
      <w:r>
        <w:rPr>
          <w:spacing w:val="-3"/>
        </w:rPr>
        <w:t> </w:t>
      </w:r>
      <w:r>
        <w:rPr/>
        <w:t>uses</w:t>
      </w:r>
      <w:r>
        <w:rPr>
          <w:spacing w:val="-5"/>
        </w:rPr>
        <w:t> </w:t>
      </w:r>
      <w:r>
        <w:rPr/>
        <w:t>a conducting pattern with negligible heat capacity acting simultaneously as the heating element and temperature sensor, see Figure 3 (b). To solve for the thermal constants of the tested material, the hot disk sensor is assumed to consist of</w:t>
      </w:r>
      <w:r>
        <w:rPr>
          <w:spacing w:val="-2"/>
        </w:rPr>
        <w:t> </w:t>
      </w:r>
      <w:r>
        <w:rPr/>
        <w:t>a series of</w:t>
      </w:r>
      <w:r>
        <w:rPr>
          <w:spacing w:val="-2"/>
        </w:rPr>
        <w:t> </w:t>
      </w:r>
      <w:r>
        <w:rPr/>
        <w:t>concentric ring heat sources located in an infinitely large sample. When the double spiral sensor is electrically heated, the time-dependent temperature increase of the tested material is recorded and the thermal conductivity and thermal diffusivity can be simultaneously obtained through a process of iteration. The</w:t>
      </w:r>
      <w:r>
        <w:rPr>
          <w:spacing w:val="-1"/>
        </w:rPr>
        <w:t> </w:t>
      </w:r>
      <w:r>
        <w:rPr/>
        <w:t>TPS</w:t>
      </w:r>
      <w:r>
        <w:rPr>
          <w:spacing w:val="-4"/>
        </w:rPr>
        <w:t> </w:t>
      </w:r>
      <w:r>
        <w:rPr/>
        <w:t>method provides</w:t>
      </w:r>
      <w:r>
        <w:rPr>
          <w:spacing w:val="-2"/>
        </w:rPr>
        <w:t> </w:t>
      </w:r>
      <w:r>
        <w:rPr/>
        <w:t>a fast yet accurate</w:t>
      </w:r>
      <w:r>
        <w:rPr>
          <w:spacing w:val="-6"/>
        </w:rPr>
        <w:t> </w:t>
      </w:r>
      <w:r>
        <w:rPr/>
        <w:t>method to measure</w:t>
      </w:r>
      <w:r>
        <w:rPr>
          <w:spacing w:val="-1"/>
        </w:rPr>
        <w:t> </w:t>
      </w:r>
      <w:r>
        <w:rPr/>
        <w:t>thermal</w:t>
      </w:r>
      <w:r>
        <w:rPr>
          <w:spacing w:val="-5"/>
        </w:rPr>
        <w:t> </w:t>
      </w:r>
      <w:r>
        <w:rPr/>
        <w:t>conductivity</w:t>
      </w:r>
    </w:p>
    <w:p>
      <w:pPr>
        <w:pStyle w:val="BodyText"/>
        <w:spacing w:after="0"/>
        <w:sectPr>
          <w:pgSz w:w="12240" w:h="15840"/>
          <w:pgMar w:header="720" w:footer="746" w:top="1340" w:bottom="940" w:left="1440" w:right="1080"/>
        </w:sectPr>
      </w:pPr>
    </w:p>
    <w:p>
      <w:pPr>
        <w:pStyle w:val="BodyText"/>
        <w:spacing w:before="80"/>
        <w:ind w:right="422"/>
      </w:pPr>
      <w:r>
        <w:rPr/>
        <mc:AlternateContent>
          <mc:Choice Requires="wps">
            <w:drawing>
              <wp:anchor distT="0" distB="0" distL="0" distR="0" allowOverlap="1" layoutInCell="1" locked="0" behindDoc="0" simplePos="0" relativeHeight="15735808">
                <wp:simplePos x="0" y="0"/>
                <wp:positionH relativeFrom="page">
                  <wp:posOffset>-1637</wp:posOffset>
                </wp:positionH>
                <wp:positionV relativeFrom="page">
                  <wp:posOffset>2272607</wp:posOffset>
                </wp:positionV>
                <wp:extent cx="138430" cy="551370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5808" type="#_x0000_t202" id="docshape21"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and thermal diffusivity of materials (Log et al. 1995). The test time for each measurement normally ranges from tens of seconds to several minutes, which is substantially shorter than those of steady-state test methods (ASTM 2005). For the TPS tests, the LWCC cubes were cut into</w:t>
      </w:r>
      <w:r>
        <w:rPr>
          <w:spacing w:val="-3"/>
        </w:rPr>
        <w:t> </w:t>
      </w:r>
      <w:r>
        <w:rPr/>
        <w:t>two identical</w:t>
      </w:r>
      <w:r>
        <w:rPr>
          <w:spacing w:val="-8"/>
        </w:rPr>
        <w:t> </w:t>
      </w:r>
      <w:r>
        <w:rPr/>
        <w:t>halves</w:t>
      </w:r>
      <w:r>
        <w:rPr>
          <w:spacing w:val="-5"/>
        </w:rPr>
        <w:t> </w:t>
      </w:r>
      <w:r>
        <w:rPr/>
        <w:t>(50×50×22mm).</w:t>
      </w:r>
      <w:r>
        <w:rPr>
          <w:spacing w:val="-1"/>
        </w:rPr>
        <w:t> </w:t>
      </w:r>
      <w:r>
        <w:rPr/>
        <w:t>Then,</w:t>
      </w:r>
      <w:r>
        <w:rPr>
          <w:spacing w:val="-1"/>
        </w:rPr>
        <w:t> </w:t>
      </w:r>
      <w:r>
        <w:rPr/>
        <w:t>the</w:t>
      </w:r>
      <w:r>
        <w:rPr>
          <w:spacing w:val="-4"/>
        </w:rPr>
        <w:t> </w:t>
      </w:r>
      <w:r>
        <w:rPr/>
        <w:t>samples</w:t>
      </w:r>
      <w:r>
        <w:rPr>
          <w:spacing w:val="-5"/>
        </w:rPr>
        <w:t> </w:t>
      </w:r>
      <w:r>
        <w:rPr/>
        <w:t>were</w:t>
      </w:r>
      <w:r>
        <w:rPr>
          <w:spacing w:val="-4"/>
        </w:rPr>
        <w:t> </w:t>
      </w:r>
      <w:r>
        <w:rPr/>
        <w:t>dried in</w:t>
      </w:r>
      <w:r>
        <w:rPr>
          <w:spacing w:val="-8"/>
        </w:rPr>
        <w:t> </w:t>
      </w:r>
      <w:r>
        <w:rPr/>
        <w:t>a</w:t>
      </w:r>
      <w:r>
        <w:rPr>
          <w:spacing w:val="-4"/>
        </w:rPr>
        <w:t> </w:t>
      </w:r>
      <w:r>
        <w:rPr/>
        <w:t>convection</w:t>
      </w:r>
      <w:r>
        <w:rPr>
          <w:spacing w:val="-8"/>
        </w:rPr>
        <w:t> </w:t>
      </w:r>
      <w:r>
        <w:rPr/>
        <w:t>oven</w:t>
      </w:r>
      <w:r>
        <w:rPr>
          <w:spacing w:val="-3"/>
        </w:rPr>
        <w:t> </w:t>
      </w:r>
      <w:r>
        <w:rPr/>
        <w:t>for 24 hours and cooled down to room temperature in an air-tight desiccant cabinet to prevent condensation. The TPS tests were then performed using a HotDisk TPS-1500 thermal constant analyzer according to the ISO22007-2</w:t>
      </w:r>
      <w:r>
        <w:rPr>
          <w:spacing w:val="-2"/>
        </w:rPr>
        <w:t> </w:t>
      </w:r>
      <w:r>
        <w:rPr/>
        <w:t>(ISO22007-2, 2008). Three measurements were taken</w:t>
      </w:r>
      <w:r>
        <w:rPr>
          <w:spacing w:val="-2"/>
        </w:rPr>
        <w:t> </w:t>
      </w:r>
      <w:r>
        <w:rPr/>
        <w:t>on each tested sample to ensure the consistency of the test results.</w:t>
      </w:r>
    </w:p>
    <w:p>
      <w:pPr>
        <w:spacing w:before="207"/>
        <w:ind w:left="1071" w:right="0" w:firstLine="0"/>
        <w:jc w:val="left"/>
        <w:rPr>
          <w:b/>
          <w:sz w:val="24"/>
        </w:rPr>
      </w:pPr>
      <w:r>
        <w:rPr>
          <w:b/>
          <w:sz w:val="24"/>
        </w:rPr>
        <w:t>Table</w:t>
      </w:r>
      <w:r>
        <w:rPr>
          <w:b/>
          <w:spacing w:val="-5"/>
          <w:sz w:val="24"/>
        </w:rPr>
        <w:t> </w:t>
      </w:r>
      <w:r>
        <w:rPr>
          <w:b/>
          <w:sz w:val="24"/>
        </w:rPr>
        <w:t>2. Density, mechanical, and thermal</w:t>
      </w:r>
      <w:r>
        <w:rPr>
          <w:b/>
          <w:spacing w:val="-7"/>
          <w:sz w:val="24"/>
        </w:rPr>
        <w:t> </w:t>
      </w:r>
      <w:r>
        <w:rPr>
          <w:b/>
          <w:sz w:val="24"/>
        </w:rPr>
        <w:t>properties</w:t>
      </w:r>
      <w:r>
        <w:rPr>
          <w:b/>
          <w:spacing w:val="-3"/>
          <w:sz w:val="24"/>
        </w:rPr>
        <w:t> </w:t>
      </w:r>
      <w:r>
        <w:rPr>
          <w:b/>
          <w:sz w:val="24"/>
        </w:rPr>
        <w:t>of</w:t>
      </w:r>
      <w:r>
        <w:rPr>
          <w:b/>
          <w:spacing w:val="-5"/>
          <w:sz w:val="24"/>
        </w:rPr>
        <w:t> </w:t>
      </w:r>
      <w:r>
        <w:rPr>
          <w:b/>
          <w:sz w:val="24"/>
        </w:rPr>
        <w:t>LWCC</w:t>
      </w:r>
      <w:r>
        <w:rPr>
          <w:b/>
          <w:spacing w:val="-2"/>
          <w:sz w:val="24"/>
        </w:rPr>
        <w:t> tested.</w:t>
      </w:r>
    </w:p>
    <w:tbl>
      <w:tblPr>
        <w:tblW w:w="0" w:type="auto"/>
        <w:jc w:val="left"/>
        <w:tblInd w:w="1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07"/>
        <w:gridCol w:w="1205"/>
        <w:gridCol w:w="951"/>
        <w:gridCol w:w="927"/>
        <w:gridCol w:w="917"/>
        <w:gridCol w:w="913"/>
        <w:gridCol w:w="1388"/>
        <w:gridCol w:w="1330"/>
      </w:tblGrid>
      <w:tr>
        <w:trPr>
          <w:trHeight w:val="680" w:hRule="atLeast"/>
        </w:trPr>
        <w:tc>
          <w:tcPr>
            <w:tcW w:w="1407" w:type="dxa"/>
            <w:vMerge w:val="restart"/>
            <w:tcBorders>
              <w:left w:val="single" w:sz="4" w:space="0" w:color="000000"/>
              <w:right w:val="single" w:sz="4" w:space="0" w:color="000000"/>
            </w:tcBorders>
          </w:tcPr>
          <w:p>
            <w:pPr>
              <w:pStyle w:val="TableParagraph"/>
              <w:spacing w:line="240" w:lineRule="auto"/>
              <w:rPr>
                <w:b/>
                <w:sz w:val="20"/>
              </w:rPr>
            </w:pPr>
            <w:r>
              <w:rPr>
                <w:b/>
                <w:sz w:val="20"/>
              </w:rPr>
              <w:t>Mix</w:t>
            </w:r>
            <w:r>
              <w:rPr>
                <w:b/>
                <w:spacing w:val="-1"/>
                <w:sz w:val="20"/>
              </w:rPr>
              <w:t> </w:t>
            </w:r>
            <w:r>
              <w:rPr>
                <w:b/>
                <w:spacing w:val="-5"/>
                <w:sz w:val="20"/>
              </w:rPr>
              <w:t>ID</w:t>
            </w:r>
          </w:p>
        </w:tc>
        <w:tc>
          <w:tcPr>
            <w:tcW w:w="1205" w:type="dxa"/>
            <w:vMerge w:val="restart"/>
            <w:tcBorders>
              <w:left w:val="single" w:sz="4" w:space="0" w:color="000000"/>
              <w:right w:val="single" w:sz="4" w:space="0" w:color="000000"/>
            </w:tcBorders>
          </w:tcPr>
          <w:p>
            <w:pPr>
              <w:pStyle w:val="TableParagraph"/>
              <w:spacing w:line="240" w:lineRule="auto"/>
              <w:rPr>
                <w:b/>
                <w:sz w:val="20"/>
              </w:rPr>
            </w:pPr>
            <w:r>
              <w:rPr>
                <w:b/>
                <w:spacing w:val="-4"/>
                <w:sz w:val="20"/>
              </w:rPr>
              <w:t>LWMI</w:t>
            </w:r>
          </w:p>
          <w:p>
            <w:pPr>
              <w:pStyle w:val="TableParagraph"/>
              <w:spacing w:line="240" w:lineRule="auto"/>
              <w:rPr>
                <w:b/>
                <w:sz w:val="20"/>
              </w:rPr>
            </w:pPr>
            <w:r>
              <w:rPr>
                <w:b/>
                <w:spacing w:val="-2"/>
                <w:sz w:val="20"/>
              </w:rPr>
              <w:t>Material </w:t>
            </w:r>
            <w:r>
              <w:rPr>
                <w:b/>
                <w:spacing w:val="-4"/>
                <w:sz w:val="20"/>
              </w:rPr>
              <w:t>Type</w:t>
            </w:r>
          </w:p>
        </w:tc>
        <w:tc>
          <w:tcPr>
            <w:tcW w:w="951" w:type="dxa"/>
            <w:tcBorders>
              <w:left w:val="single" w:sz="4" w:space="0" w:color="000000"/>
              <w:bottom w:val="single" w:sz="4" w:space="0" w:color="000000"/>
              <w:right w:val="single" w:sz="4" w:space="0" w:color="000000"/>
            </w:tcBorders>
          </w:tcPr>
          <w:p>
            <w:pPr>
              <w:pStyle w:val="TableParagraph"/>
              <w:spacing w:line="240" w:lineRule="auto"/>
              <w:rPr>
                <w:b/>
                <w:sz w:val="20"/>
              </w:rPr>
            </w:pPr>
            <w:r>
              <w:rPr>
                <w:b/>
                <w:spacing w:val="-5"/>
                <w:sz w:val="20"/>
              </w:rPr>
              <w:t>LWF</w:t>
            </w:r>
          </w:p>
          <w:p>
            <w:pPr>
              <w:pStyle w:val="TableParagraph"/>
              <w:spacing w:line="240" w:lineRule="auto"/>
              <w:rPr>
                <w:b/>
                <w:sz w:val="20"/>
              </w:rPr>
            </w:pPr>
            <w:r>
              <w:rPr>
                <w:b/>
                <w:spacing w:val="-2"/>
                <w:sz w:val="20"/>
              </w:rPr>
              <w:t>Fraction</w:t>
            </w:r>
          </w:p>
        </w:tc>
        <w:tc>
          <w:tcPr>
            <w:tcW w:w="927" w:type="dxa"/>
            <w:tcBorders>
              <w:left w:val="single" w:sz="4" w:space="0" w:color="000000"/>
              <w:bottom w:val="single" w:sz="4" w:space="0" w:color="000000"/>
              <w:right w:val="single" w:sz="4" w:space="0" w:color="000000"/>
            </w:tcBorders>
          </w:tcPr>
          <w:p>
            <w:pPr>
              <w:pStyle w:val="TableParagraph"/>
              <w:spacing w:line="240" w:lineRule="auto"/>
              <w:ind w:right="112"/>
              <w:rPr>
                <w:b/>
                <w:sz w:val="20"/>
              </w:rPr>
            </w:pPr>
            <w:r>
              <w:rPr>
                <w:b/>
                <w:spacing w:val="-4"/>
                <w:sz w:val="20"/>
              </w:rPr>
              <w:t>Air </w:t>
            </w:r>
            <w:r>
              <w:rPr>
                <w:b/>
                <w:spacing w:val="-2"/>
                <w:sz w:val="20"/>
              </w:rPr>
              <w:t>Content</w:t>
            </w:r>
          </w:p>
        </w:tc>
        <w:tc>
          <w:tcPr>
            <w:tcW w:w="917" w:type="dxa"/>
            <w:tcBorders>
              <w:left w:val="single" w:sz="4" w:space="0" w:color="000000"/>
              <w:bottom w:val="single" w:sz="4" w:space="0" w:color="000000"/>
              <w:right w:val="single" w:sz="4" w:space="0" w:color="000000"/>
            </w:tcBorders>
          </w:tcPr>
          <w:p>
            <w:pPr>
              <w:pStyle w:val="TableParagraph"/>
              <w:spacing w:line="240" w:lineRule="auto"/>
              <w:ind w:right="146"/>
              <w:rPr>
                <w:b/>
                <w:sz w:val="20"/>
              </w:rPr>
            </w:pPr>
            <w:r>
              <w:rPr>
                <w:b/>
                <w:spacing w:val="-4"/>
                <w:sz w:val="20"/>
              </w:rPr>
              <w:t>Wet </w:t>
            </w:r>
            <w:r>
              <w:rPr>
                <w:b/>
                <w:spacing w:val="-2"/>
                <w:sz w:val="20"/>
              </w:rPr>
              <w:t>Density</w:t>
            </w:r>
          </w:p>
        </w:tc>
        <w:tc>
          <w:tcPr>
            <w:tcW w:w="913" w:type="dxa"/>
            <w:tcBorders>
              <w:left w:val="single" w:sz="4" w:space="0" w:color="000000"/>
              <w:bottom w:val="single" w:sz="4" w:space="0" w:color="000000"/>
              <w:right w:val="single" w:sz="4" w:space="0" w:color="000000"/>
            </w:tcBorders>
          </w:tcPr>
          <w:p>
            <w:pPr>
              <w:pStyle w:val="TableParagraph"/>
              <w:spacing w:line="230" w:lineRule="atLeast"/>
              <w:ind w:left="105" w:right="147"/>
              <w:rPr>
                <w:b/>
                <w:sz w:val="20"/>
              </w:rPr>
            </w:pPr>
            <w:r>
              <w:rPr>
                <w:b/>
                <w:spacing w:val="-4"/>
                <w:sz w:val="20"/>
              </w:rPr>
              <w:t>Oven Dry </w:t>
            </w:r>
            <w:r>
              <w:rPr>
                <w:b/>
                <w:spacing w:val="-2"/>
                <w:sz w:val="20"/>
              </w:rPr>
              <w:t>Density</w:t>
            </w:r>
          </w:p>
        </w:tc>
        <w:tc>
          <w:tcPr>
            <w:tcW w:w="1388" w:type="dxa"/>
            <w:tcBorders>
              <w:left w:val="single" w:sz="4" w:space="0" w:color="000000"/>
              <w:bottom w:val="single" w:sz="4" w:space="0" w:color="000000"/>
              <w:right w:val="single" w:sz="4" w:space="0" w:color="000000"/>
            </w:tcBorders>
          </w:tcPr>
          <w:p>
            <w:pPr>
              <w:pStyle w:val="TableParagraph"/>
              <w:spacing w:line="240" w:lineRule="auto"/>
              <w:ind w:left="104"/>
              <w:rPr>
                <w:b/>
                <w:sz w:val="20"/>
              </w:rPr>
            </w:pPr>
            <w:r>
              <w:rPr>
                <w:b/>
                <w:spacing w:val="-2"/>
                <w:sz w:val="20"/>
              </w:rPr>
              <w:t>Compressive Strength</w:t>
            </w:r>
          </w:p>
        </w:tc>
        <w:tc>
          <w:tcPr>
            <w:tcW w:w="1330" w:type="dxa"/>
            <w:tcBorders>
              <w:left w:val="single" w:sz="4" w:space="0" w:color="000000"/>
              <w:bottom w:val="single" w:sz="4" w:space="0" w:color="000000"/>
              <w:right w:val="single" w:sz="4" w:space="0" w:color="000000"/>
            </w:tcBorders>
          </w:tcPr>
          <w:p>
            <w:pPr>
              <w:pStyle w:val="TableParagraph"/>
              <w:spacing w:line="240" w:lineRule="auto"/>
              <w:ind w:left="104"/>
              <w:rPr>
                <w:b/>
                <w:sz w:val="20"/>
              </w:rPr>
            </w:pPr>
            <w:r>
              <w:rPr>
                <w:b/>
                <w:spacing w:val="-2"/>
                <w:sz w:val="20"/>
              </w:rPr>
              <w:t>Thermal Conductivity</w:t>
            </w:r>
          </w:p>
        </w:tc>
      </w:tr>
      <w:tr>
        <w:trPr>
          <w:trHeight w:val="229" w:hRule="atLeast"/>
        </w:trPr>
        <w:tc>
          <w:tcPr>
            <w:tcW w:w="1407" w:type="dxa"/>
            <w:vMerge/>
            <w:tcBorders>
              <w:top w:val="nil"/>
              <w:left w:val="single" w:sz="4" w:space="0" w:color="000000"/>
              <w:right w:val="single" w:sz="4" w:space="0" w:color="000000"/>
            </w:tcBorders>
          </w:tcPr>
          <w:p>
            <w:pPr>
              <w:rPr>
                <w:sz w:val="2"/>
                <w:szCs w:val="2"/>
              </w:rPr>
            </w:pPr>
          </w:p>
        </w:tc>
        <w:tc>
          <w:tcPr>
            <w:tcW w:w="1205" w:type="dxa"/>
            <w:vMerge/>
            <w:tcBorders>
              <w:top w:val="nil"/>
              <w:left w:val="single" w:sz="4" w:space="0" w:color="000000"/>
              <w:right w:val="single" w:sz="4" w:space="0" w:color="000000"/>
            </w:tcBorders>
          </w:tcPr>
          <w:p>
            <w:pPr>
              <w:rPr>
                <w:sz w:val="2"/>
                <w:szCs w:val="2"/>
              </w:rPr>
            </w:pPr>
          </w:p>
        </w:tc>
        <w:tc>
          <w:tcPr>
            <w:tcW w:w="951" w:type="dxa"/>
            <w:tcBorders>
              <w:top w:val="single" w:sz="4" w:space="0" w:color="000000"/>
              <w:left w:val="single" w:sz="4" w:space="0" w:color="000000"/>
              <w:right w:val="single" w:sz="4" w:space="0" w:color="000000"/>
            </w:tcBorders>
          </w:tcPr>
          <w:p>
            <w:pPr>
              <w:pStyle w:val="TableParagraph"/>
              <w:spacing w:line="210" w:lineRule="exact"/>
              <w:rPr>
                <w:position w:val="2"/>
                <w:sz w:val="20"/>
              </w:rPr>
            </w:pPr>
            <w:r>
              <w:rPr>
                <w:i/>
                <w:position w:val="2"/>
                <w:sz w:val="20"/>
              </w:rPr>
              <w:t>v</w:t>
            </w:r>
            <w:r>
              <w:rPr>
                <w:i/>
                <w:sz w:val="13"/>
              </w:rPr>
              <w:t>f</w:t>
            </w:r>
            <w:r>
              <w:rPr>
                <w:i/>
                <w:spacing w:val="17"/>
                <w:sz w:val="13"/>
              </w:rPr>
              <w:t> </w:t>
            </w:r>
            <w:r>
              <w:rPr>
                <w:spacing w:val="-4"/>
                <w:position w:val="2"/>
                <w:sz w:val="20"/>
              </w:rPr>
              <w:t>(%)</w:t>
            </w:r>
            <w:r>
              <w:rPr>
                <w:spacing w:val="-4"/>
                <w:position w:val="2"/>
                <w:sz w:val="20"/>
                <w:vertAlign w:val="superscript"/>
              </w:rPr>
              <w:t>*</w:t>
            </w:r>
          </w:p>
        </w:tc>
        <w:tc>
          <w:tcPr>
            <w:tcW w:w="927" w:type="dxa"/>
            <w:tcBorders>
              <w:top w:val="single" w:sz="4" w:space="0" w:color="000000"/>
              <w:left w:val="single" w:sz="4" w:space="0" w:color="000000"/>
              <w:right w:val="single" w:sz="4" w:space="0" w:color="000000"/>
            </w:tcBorders>
          </w:tcPr>
          <w:p>
            <w:pPr>
              <w:pStyle w:val="TableParagraph"/>
              <w:spacing w:line="210" w:lineRule="exact"/>
              <w:rPr>
                <w:sz w:val="20"/>
              </w:rPr>
            </w:pPr>
            <w:r>
              <w:rPr>
                <w:spacing w:val="-2"/>
                <w:sz w:val="20"/>
              </w:rPr>
              <w:t>(%)</w:t>
            </w:r>
            <w:r>
              <w:rPr>
                <w:spacing w:val="-2"/>
                <w:sz w:val="20"/>
                <w:vertAlign w:val="superscript"/>
              </w:rPr>
              <w:t>**</w:t>
            </w:r>
          </w:p>
        </w:tc>
        <w:tc>
          <w:tcPr>
            <w:tcW w:w="917" w:type="dxa"/>
            <w:tcBorders>
              <w:top w:val="single" w:sz="4" w:space="0" w:color="000000"/>
              <w:left w:val="single" w:sz="4" w:space="0" w:color="000000"/>
              <w:right w:val="single" w:sz="4" w:space="0" w:color="000000"/>
            </w:tcBorders>
          </w:tcPr>
          <w:p>
            <w:pPr>
              <w:pStyle w:val="TableParagraph"/>
              <w:spacing w:line="210" w:lineRule="exact"/>
              <w:rPr>
                <w:sz w:val="20"/>
              </w:rPr>
            </w:pPr>
            <w:r>
              <w:rPr>
                <w:spacing w:val="-2"/>
                <w:sz w:val="20"/>
              </w:rPr>
              <w:t>(kg/m</w:t>
            </w:r>
            <w:r>
              <w:rPr>
                <w:spacing w:val="-2"/>
                <w:sz w:val="20"/>
                <w:vertAlign w:val="superscript"/>
              </w:rPr>
              <w:t>3</w:t>
            </w:r>
            <w:r>
              <w:rPr>
                <w:spacing w:val="-2"/>
                <w:sz w:val="20"/>
                <w:vertAlign w:val="baseline"/>
              </w:rPr>
              <w:t>)</w:t>
            </w:r>
          </w:p>
        </w:tc>
        <w:tc>
          <w:tcPr>
            <w:tcW w:w="913" w:type="dxa"/>
            <w:tcBorders>
              <w:top w:val="single" w:sz="4" w:space="0" w:color="000000"/>
              <w:left w:val="single" w:sz="4" w:space="0" w:color="000000"/>
              <w:right w:val="single" w:sz="4" w:space="0" w:color="000000"/>
            </w:tcBorders>
          </w:tcPr>
          <w:p>
            <w:pPr>
              <w:pStyle w:val="TableParagraph"/>
              <w:spacing w:line="210" w:lineRule="exact"/>
              <w:ind w:left="105"/>
              <w:rPr>
                <w:sz w:val="20"/>
              </w:rPr>
            </w:pPr>
            <w:r>
              <w:rPr>
                <w:spacing w:val="-2"/>
                <w:sz w:val="20"/>
              </w:rPr>
              <w:t>(kg/m</w:t>
            </w:r>
            <w:r>
              <w:rPr>
                <w:spacing w:val="-2"/>
                <w:sz w:val="20"/>
                <w:vertAlign w:val="superscript"/>
              </w:rPr>
              <w:t>3</w:t>
            </w:r>
            <w:r>
              <w:rPr>
                <w:spacing w:val="-2"/>
                <w:sz w:val="20"/>
                <w:vertAlign w:val="baseline"/>
              </w:rPr>
              <w:t>)</w:t>
            </w:r>
          </w:p>
        </w:tc>
        <w:tc>
          <w:tcPr>
            <w:tcW w:w="1388" w:type="dxa"/>
            <w:tcBorders>
              <w:top w:val="single" w:sz="4" w:space="0" w:color="000000"/>
              <w:left w:val="single" w:sz="4" w:space="0" w:color="000000"/>
              <w:right w:val="single" w:sz="4" w:space="0" w:color="000000"/>
            </w:tcBorders>
          </w:tcPr>
          <w:p>
            <w:pPr>
              <w:pStyle w:val="TableParagraph"/>
              <w:spacing w:line="210" w:lineRule="exact"/>
              <w:ind w:left="104"/>
              <w:rPr>
                <w:sz w:val="20"/>
              </w:rPr>
            </w:pPr>
            <w:r>
              <w:rPr>
                <w:spacing w:val="-2"/>
                <w:sz w:val="20"/>
              </w:rPr>
              <w:t>(MPa)</w:t>
            </w:r>
          </w:p>
        </w:tc>
        <w:tc>
          <w:tcPr>
            <w:tcW w:w="1330" w:type="dxa"/>
            <w:tcBorders>
              <w:top w:val="single" w:sz="4" w:space="0" w:color="000000"/>
              <w:left w:val="single" w:sz="4" w:space="0" w:color="000000"/>
              <w:right w:val="single" w:sz="4" w:space="0" w:color="000000"/>
            </w:tcBorders>
          </w:tcPr>
          <w:p>
            <w:pPr>
              <w:pStyle w:val="TableParagraph"/>
              <w:spacing w:line="210" w:lineRule="exact"/>
              <w:ind w:left="104"/>
              <w:rPr>
                <w:sz w:val="20"/>
              </w:rPr>
            </w:pPr>
            <w:r>
              <w:rPr>
                <w:sz w:val="20"/>
              </w:rPr>
              <w:t>(W</w:t>
            </w:r>
            <w:r>
              <w:rPr>
                <w:spacing w:val="-6"/>
                <w:sz w:val="20"/>
              </w:rPr>
              <w:t> </w:t>
            </w:r>
            <w:r>
              <w:rPr>
                <w:sz w:val="20"/>
              </w:rPr>
              <w:t>m</w:t>
            </w:r>
            <w:r>
              <w:rPr>
                <w:sz w:val="20"/>
                <w:vertAlign w:val="superscript"/>
              </w:rPr>
              <w:t>-1</w:t>
            </w:r>
            <w:r>
              <w:rPr>
                <w:sz w:val="20"/>
                <w:vertAlign w:val="baseline"/>
              </w:rPr>
              <w:t>K</w:t>
            </w:r>
            <w:r>
              <w:rPr>
                <w:sz w:val="20"/>
                <w:vertAlign w:val="superscript"/>
              </w:rPr>
              <w:t>-</w:t>
            </w:r>
            <w:r>
              <w:rPr>
                <w:spacing w:val="-5"/>
                <w:sz w:val="20"/>
                <w:vertAlign w:val="superscript"/>
              </w:rPr>
              <w:t>1</w:t>
            </w:r>
            <w:r>
              <w:rPr>
                <w:spacing w:val="-5"/>
                <w:sz w:val="20"/>
                <w:vertAlign w:val="baseline"/>
              </w:rPr>
              <w:t>)</w:t>
            </w:r>
          </w:p>
        </w:tc>
      </w:tr>
      <w:tr>
        <w:trPr>
          <w:trHeight w:val="229" w:hRule="atLeast"/>
        </w:trPr>
        <w:tc>
          <w:tcPr>
            <w:tcW w:w="1407" w:type="dxa"/>
            <w:tcBorders>
              <w:left w:val="single" w:sz="4" w:space="0" w:color="000000"/>
              <w:bottom w:val="single" w:sz="4" w:space="0" w:color="000000"/>
              <w:right w:val="single" w:sz="4" w:space="0" w:color="000000"/>
            </w:tcBorders>
          </w:tcPr>
          <w:p>
            <w:pPr>
              <w:pStyle w:val="TableParagraph"/>
              <w:spacing w:line="210" w:lineRule="exact"/>
              <w:rPr>
                <w:sz w:val="20"/>
              </w:rPr>
            </w:pPr>
            <w:r>
              <w:rPr>
                <w:spacing w:val="-2"/>
                <w:sz w:val="20"/>
              </w:rPr>
              <w:t>K25-</w:t>
            </w:r>
            <w:r>
              <w:rPr>
                <w:spacing w:val="-10"/>
                <w:sz w:val="20"/>
              </w:rPr>
              <w:t>0</w:t>
            </w:r>
          </w:p>
        </w:tc>
        <w:tc>
          <w:tcPr>
            <w:tcW w:w="1205" w:type="dxa"/>
            <w:vMerge w:val="restart"/>
            <w:tcBorders>
              <w:left w:val="single" w:sz="4" w:space="0" w:color="000000"/>
              <w:bottom w:val="single" w:sz="4" w:space="0" w:color="000000"/>
              <w:right w:val="single" w:sz="4" w:space="0" w:color="000000"/>
            </w:tcBorders>
          </w:tcPr>
          <w:p>
            <w:pPr>
              <w:pStyle w:val="TableParagraph"/>
              <w:spacing w:line="240" w:lineRule="auto" w:before="168"/>
              <w:ind w:right="91" w:firstLine="4"/>
              <w:jc w:val="center"/>
              <w:rPr>
                <w:sz w:val="20"/>
              </w:rPr>
            </w:pPr>
            <w:r>
              <w:rPr>
                <w:spacing w:val="-2"/>
                <w:sz w:val="20"/>
              </w:rPr>
              <w:t>Hollow</w:t>
            </w:r>
            <w:r>
              <w:rPr>
                <w:spacing w:val="40"/>
                <w:sz w:val="20"/>
              </w:rPr>
              <w:t> </w:t>
            </w:r>
            <w:r>
              <w:rPr>
                <w:spacing w:val="-2"/>
                <w:sz w:val="20"/>
              </w:rPr>
              <w:t>glass microsphere </w:t>
            </w:r>
            <w:r>
              <w:rPr>
                <w:sz w:val="20"/>
              </w:rPr>
              <w:t>(3M) K25</w:t>
            </w:r>
          </w:p>
        </w:tc>
        <w:tc>
          <w:tcPr>
            <w:tcW w:w="951" w:type="dxa"/>
            <w:tcBorders>
              <w:left w:val="single" w:sz="4" w:space="0" w:color="000000"/>
              <w:bottom w:val="single" w:sz="4" w:space="0" w:color="000000"/>
              <w:right w:val="single" w:sz="4" w:space="0" w:color="000000"/>
            </w:tcBorders>
          </w:tcPr>
          <w:p>
            <w:pPr>
              <w:pStyle w:val="TableParagraph"/>
              <w:spacing w:line="210" w:lineRule="exact"/>
              <w:rPr>
                <w:sz w:val="20"/>
              </w:rPr>
            </w:pPr>
            <w:r>
              <w:rPr>
                <w:spacing w:val="-10"/>
                <w:sz w:val="20"/>
              </w:rPr>
              <w:t>0</w:t>
            </w:r>
          </w:p>
        </w:tc>
        <w:tc>
          <w:tcPr>
            <w:tcW w:w="927" w:type="dxa"/>
            <w:tcBorders>
              <w:left w:val="single" w:sz="4" w:space="0" w:color="000000"/>
              <w:bottom w:val="single" w:sz="4" w:space="0" w:color="000000"/>
              <w:right w:val="single" w:sz="4" w:space="0" w:color="000000"/>
            </w:tcBorders>
          </w:tcPr>
          <w:p>
            <w:pPr>
              <w:pStyle w:val="TableParagraph"/>
              <w:spacing w:line="210" w:lineRule="exact"/>
              <w:rPr>
                <w:sz w:val="20"/>
              </w:rPr>
            </w:pPr>
            <w:r>
              <w:rPr>
                <w:spacing w:val="-10"/>
                <w:sz w:val="20"/>
              </w:rPr>
              <w:t>5</w:t>
            </w:r>
          </w:p>
        </w:tc>
        <w:tc>
          <w:tcPr>
            <w:tcW w:w="917" w:type="dxa"/>
            <w:tcBorders>
              <w:left w:val="single" w:sz="4" w:space="0" w:color="000000"/>
              <w:bottom w:val="single" w:sz="4" w:space="0" w:color="000000"/>
              <w:right w:val="single" w:sz="4" w:space="0" w:color="000000"/>
            </w:tcBorders>
          </w:tcPr>
          <w:p>
            <w:pPr>
              <w:pStyle w:val="TableParagraph"/>
              <w:spacing w:line="210" w:lineRule="exact"/>
              <w:rPr>
                <w:sz w:val="20"/>
              </w:rPr>
            </w:pPr>
            <w:r>
              <w:rPr>
                <w:spacing w:val="-4"/>
                <w:sz w:val="20"/>
              </w:rPr>
              <w:t>2278</w:t>
            </w:r>
          </w:p>
        </w:tc>
        <w:tc>
          <w:tcPr>
            <w:tcW w:w="913" w:type="dxa"/>
            <w:tcBorders>
              <w:left w:val="single" w:sz="4" w:space="0" w:color="000000"/>
              <w:bottom w:val="single" w:sz="4" w:space="0" w:color="000000"/>
              <w:right w:val="single" w:sz="4" w:space="0" w:color="000000"/>
            </w:tcBorders>
          </w:tcPr>
          <w:p>
            <w:pPr>
              <w:pStyle w:val="TableParagraph"/>
              <w:spacing w:line="210" w:lineRule="exact"/>
              <w:ind w:left="105"/>
              <w:rPr>
                <w:sz w:val="20"/>
              </w:rPr>
            </w:pPr>
            <w:r>
              <w:rPr>
                <w:spacing w:val="-4"/>
                <w:sz w:val="20"/>
              </w:rPr>
              <w:t>1974</w:t>
            </w:r>
          </w:p>
        </w:tc>
        <w:tc>
          <w:tcPr>
            <w:tcW w:w="1388" w:type="dxa"/>
            <w:tcBorders>
              <w:left w:val="single" w:sz="4" w:space="0" w:color="000000"/>
              <w:bottom w:val="single" w:sz="4" w:space="0" w:color="000000"/>
              <w:right w:val="single" w:sz="4" w:space="0" w:color="000000"/>
            </w:tcBorders>
          </w:tcPr>
          <w:p>
            <w:pPr>
              <w:pStyle w:val="TableParagraph"/>
              <w:spacing w:line="210" w:lineRule="exact"/>
              <w:ind w:left="104"/>
              <w:rPr>
                <w:sz w:val="20"/>
              </w:rPr>
            </w:pPr>
            <w:r>
              <w:rPr>
                <w:spacing w:val="-4"/>
                <w:sz w:val="20"/>
              </w:rPr>
              <w:t>55.1</w:t>
            </w:r>
          </w:p>
        </w:tc>
        <w:tc>
          <w:tcPr>
            <w:tcW w:w="1330" w:type="dxa"/>
            <w:tcBorders>
              <w:left w:val="single" w:sz="4" w:space="0" w:color="000000"/>
              <w:bottom w:val="single" w:sz="4" w:space="0" w:color="000000"/>
              <w:right w:val="single" w:sz="4" w:space="0" w:color="000000"/>
            </w:tcBorders>
          </w:tcPr>
          <w:p>
            <w:pPr>
              <w:pStyle w:val="TableParagraph"/>
              <w:spacing w:line="210" w:lineRule="exact"/>
              <w:ind w:left="104"/>
              <w:rPr>
                <w:sz w:val="20"/>
              </w:rPr>
            </w:pPr>
            <w:r>
              <w:rPr>
                <w:spacing w:val="-4"/>
                <w:sz w:val="20"/>
              </w:rPr>
              <w:t>2.30</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K25-</w:t>
            </w:r>
            <w:r>
              <w:rPr>
                <w:spacing w:val="-10"/>
                <w:sz w:val="20"/>
              </w:rPr>
              <w:t>1</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5"/>
                <w:sz w:val="20"/>
              </w:rPr>
              <w:t>7.1</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10"/>
                <w:sz w:val="20"/>
              </w:rPr>
              <w:t>3</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2236</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1926</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57.5</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1.90</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K25-</w:t>
            </w:r>
            <w:r>
              <w:rPr>
                <w:spacing w:val="-10"/>
                <w:sz w:val="20"/>
              </w:rPr>
              <w:t>2</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14.5</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10"/>
                <w:sz w:val="20"/>
              </w:rPr>
              <w:t>2</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1984</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1737</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46.4</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1.33</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K25-</w:t>
            </w:r>
            <w:r>
              <w:rPr>
                <w:spacing w:val="-10"/>
                <w:sz w:val="20"/>
              </w:rPr>
              <w:t>3</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22.1</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5"/>
                <w:sz w:val="20"/>
              </w:rPr>
              <w:t>2.5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1737</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1537</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30.9</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0.90</w:t>
            </w:r>
          </w:p>
        </w:tc>
      </w:tr>
      <w:tr>
        <w:trPr>
          <w:trHeight w:val="244"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0"/>
              </w:rPr>
            </w:pPr>
            <w:r>
              <w:rPr>
                <w:spacing w:val="-2"/>
                <w:sz w:val="20"/>
              </w:rPr>
              <w:t>K25-</w:t>
            </w:r>
            <w:r>
              <w:rPr>
                <w:spacing w:val="-10"/>
                <w:sz w:val="20"/>
              </w:rPr>
              <w:t>4</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0"/>
              </w:rPr>
            </w:pPr>
            <w:r>
              <w:rPr>
                <w:spacing w:val="-4"/>
                <w:sz w:val="20"/>
              </w:rPr>
              <w:t>29.3</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0"/>
              </w:rPr>
            </w:pPr>
            <w:r>
              <w:rPr>
                <w:spacing w:val="-5"/>
                <w:sz w:val="20"/>
              </w:rPr>
              <w:t>3.5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0"/>
              </w:rPr>
            </w:pPr>
            <w:r>
              <w:rPr>
                <w:spacing w:val="-4"/>
                <w:sz w:val="20"/>
              </w:rPr>
              <w:t>1589</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5"/>
              <w:rPr>
                <w:sz w:val="20"/>
              </w:rPr>
            </w:pPr>
            <w:r>
              <w:rPr>
                <w:spacing w:val="-4"/>
                <w:sz w:val="20"/>
              </w:rPr>
              <w:t>1344</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4"/>
              <w:rPr>
                <w:sz w:val="20"/>
              </w:rPr>
            </w:pPr>
            <w:r>
              <w:rPr>
                <w:spacing w:val="-4"/>
                <w:sz w:val="20"/>
              </w:rPr>
              <w:t>21.5</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4"/>
              <w:rPr>
                <w:sz w:val="20"/>
              </w:rPr>
            </w:pPr>
            <w:r>
              <w:rPr>
                <w:spacing w:val="-4"/>
                <w:sz w:val="20"/>
              </w:rPr>
              <w:t>0.62</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S38HS-</w:t>
            </w:r>
            <w:r>
              <w:rPr>
                <w:spacing w:val="-10"/>
                <w:sz w:val="20"/>
              </w:rPr>
              <w:t>0</w:t>
            </w:r>
          </w:p>
        </w:tc>
        <w:tc>
          <w:tcPr>
            <w:tcW w:w="1205"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58"/>
              <w:ind w:right="91" w:firstLine="4"/>
              <w:jc w:val="center"/>
              <w:rPr>
                <w:sz w:val="20"/>
              </w:rPr>
            </w:pPr>
            <w:r>
              <w:rPr>
                <w:spacing w:val="-2"/>
                <w:sz w:val="20"/>
              </w:rPr>
              <w:t>Hollow</w:t>
            </w:r>
            <w:r>
              <w:rPr>
                <w:spacing w:val="40"/>
                <w:sz w:val="20"/>
              </w:rPr>
              <w:t> </w:t>
            </w:r>
            <w:r>
              <w:rPr>
                <w:spacing w:val="-2"/>
                <w:sz w:val="20"/>
              </w:rPr>
              <w:t>glass microsphere </w:t>
            </w:r>
            <w:r>
              <w:rPr>
                <w:spacing w:val="-4"/>
                <w:sz w:val="20"/>
              </w:rPr>
              <w:t>(3M)</w:t>
            </w:r>
            <w:r>
              <w:rPr>
                <w:spacing w:val="40"/>
                <w:sz w:val="20"/>
              </w:rPr>
              <w:t> </w:t>
            </w:r>
            <w:r>
              <w:rPr>
                <w:spacing w:val="-2"/>
                <w:sz w:val="20"/>
              </w:rPr>
              <w:t>S38HS</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10"/>
                <w:sz w:val="20"/>
              </w:rPr>
              <w:t>0</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3.25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2298</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2027</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46.0</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2.18</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S38HS-</w:t>
            </w:r>
            <w:r>
              <w:rPr>
                <w:spacing w:val="-10"/>
                <w:sz w:val="20"/>
              </w:rPr>
              <w:t>1</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6.71</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2.25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2219</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1939</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46.9</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1.69</w:t>
            </w:r>
          </w:p>
        </w:tc>
      </w:tr>
      <w:tr>
        <w:trPr>
          <w:trHeight w:val="234"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rPr>
                <w:sz w:val="20"/>
              </w:rPr>
            </w:pPr>
            <w:r>
              <w:rPr>
                <w:spacing w:val="-2"/>
                <w:sz w:val="20"/>
              </w:rPr>
              <w:t>S38HS-</w:t>
            </w:r>
            <w:r>
              <w:rPr>
                <w:spacing w:val="-10"/>
                <w:sz w:val="20"/>
              </w:rPr>
              <w:t>2</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rPr>
                <w:sz w:val="20"/>
              </w:rPr>
            </w:pPr>
            <w:r>
              <w:rPr>
                <w:spacing w:val="-2"/>
                <w:sz w:val="20"/>
              </w:rPr>
              <w:t>13.69</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rPr>
                <w:sz w:val="20"/>
              </w:rPr>
            </w:pPr>
            <w:r>
              <w:rPr>
                <w:spacing w:val="-10"/>
                <w:sz w:val="20"/>
              </w:rPr>
              <w:t>2</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rPr>
                <w:sz w:val="20"/>
              </w:rPr>
            </w:pPr>
            <w:r>
              <w:rPr>
                <w:spacing w:val="-4"/>
                <w:sz w:val="20"/>
              </w:rPr>
              <w:t>2058</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105"/>
              <w:rPr>
                <w:sz w:val="20"/>
              </w:rPr>
            </w:pPr>
            <w:r>
              <w:rPr>
                <w:spacing w:val="-4"/>
                <w:sz w:val="20"/>
              </w:rPr>
              <w:t>1830</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104"/>
              <w:rPr>
                <w:sz w:val="20"/>
              </w:rPr>
            </w:pPr>
            <w:r>
              <w:rPr>
                <w:spacing w:val="-4"/>
                <w:sz w:val="20"/>
              </w:rPr>
              <w:t>52.7</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104"/>
              <w:rPr>
                <w:sz w:val="20"/>
              </w:rPr>
            </w:pPr>
            <w:r>
              <w:rPr>
                <w:spacing w:val="-4"/>
                <w:sz w:val="20"/>
              </w:rPr>
              <w:t>1.36</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S38HS-</w:t>
            </w:r>
            <w:r>
              <w:rPr>
                <w:spacing w:val="-10"/>
                <w:sz w:val="20"/>
              </w:rPr>
              <w:t>3</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21.30</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10"/>
                <w:sz w:val="20"/>
              </w:rPr>
              <w:t>1</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1871</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1670</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48.4</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0.98</w:t>
            </w:r>
          </w:p>
        </w:tc>
      </w:tr>
      <w:tr>
        <w:trPr>
          <w:trHeight w:val="244"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S38HS-</w:t>
            </w:r>
            <w:r>
              <w:rPr>
                <w:spacing w:val="-10"/>
                <w:sz w:val="20"/>
              </w:rPr>
              <w:t>4</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28.59</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1.25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1655</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1434</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35.2</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0.66</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S60-</w:t>
            </w:r>
            <w:r>
              <w:rPr>
                <w:spacing w:val="-10"/>
                <w:sz w:val="20"/>
              </w:rPr>
              <w:t>0</w:t>
            </w:r>
          </w:p>
        </w:tc>
        <w:tc>
          <w:tcPr>
            <w:tcW w:w="1205"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91" w:firstLine="4"/>
              <w:jc w:val="center"/>
              <w:rPr>
                <w:sz w:val="20"/>
              </w:rPr>
            </w:pPr>
            <w:r>
              <w:rPr>
                <w:spacing w:val="-2"/>
                <w:sz w:val="20"/>
              </w:rPr>
              <w:t>Hollow</w:t>
            </w:r>
            <w:r>
              <w:rPr>
                <w:spacing w:val="40"/>
                <w:sz w:val="20"/>
              </w:rPr>
              <w:t> </w:t>
            </w:r>
            <w:r>
              <w:rPr>
                <w:spacing w:val="-2"/>
                <w:sz w:val="20"/>
              </w:rPr>
              <w:t>glass microsphere </w:t>
            </w:r>
            <w:r>
              <w:rPr>
                <w:sz w:val="20"/>
              </w:rPr>
              <w:t>(3M) S60</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10"/>
                <w:sz w:val="20"/>
              </w:rPr>
              <w:t>0</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4.75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2298</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2007</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48.7</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2.15</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S60-</w:t>
            </w:r>
            <w:r>
              <w:rPr>
                <w:spacing w:val="-10"/>
                <w:sz w:val="20"/>
              </w:rPr>
              <w:t>1</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7.07</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3.25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2209</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1932</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55.5</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1.79</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S60-</w:t>
            </w:r>
            <w:r>
              <w:rPr>
                <w:spacing w:val="-10"/>
                <w:sz w:val="20"/>
              </w:rPr>
              <w:t>2</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14.60</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1.25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2089</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1836</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61.2</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1.35</w:t>
            </w:r>
          </w:p>
        </w:tc>
      </w:tr>
      <w:tr>
        <w:trPr>
          <w:trHeight w:val="244"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0"/>
              </w:rPr>
            </w:pPr>
            <w:r>
              <w:rPr>
                <w:spacing w:val="-2"/>
                <w:sz w:val="20"/>
              </w:rPr>
              <w:t>S60-</w:t>
            </w:r>
            <w:r>
              <w:rPr>
                <w:spacing w:val="-10"/>
                <w:sz w:val="20"/>
              </w:rPr>
              <w:t>3</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0"/>
              </w:rPr>
            </w:pPr>
            <w:r>
              <w:rPr>
                <w:spacing w:val="-2"/>
                <w:sz w:val="20"/>
              </w:rPr>
              <w:t>22.09</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0"/>
              </w:rPr>
            </w:pPr>
            <w:r>
              <w:rPr>
                <w:spacing w:val="-5"/>
                <w:sz w:val="20"/>
              </w:rPr>
              <w:t>2.5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0"/>
              </w:rPr>
            </w:pPr>
            <w:r>
              <w:rPr>
                <w:spacing w:val="-4"/>
                <w:sz w:val="20"/>
              </w:rPr>
              <w:t>1903</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5"/>
              <w:rPr>
                <w:sz w:val="20"/>
              </w:rPr>
            </w:pPr>
            <w:r>
              <w:rPr>
                <w:spacing w:val="-4"/>
                <w:sz w:val="20"/>
              </w:rPr>
              <w:t>1651</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4"/>
              <w:rPr>
                <w:sz w:val="20"/>
              </w:rPr>
            </w:pPr>
            <w:r>
              <w:rPr>
                <w:spacing w:val="-4"/>
                <w:sz w:val="20"/>
              </w:rPr>
              <w:t>52.2</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4"/>
              <w:rPr>
                <w:sz w:val="20"/>
              </w:rPr>
            </w:pPr>
            <w:r>
              <w:rPr>
                <w:spacing w:val="-4"/>
                <w:sz w:val="20"/>
              </w:rPr>
              <w:t>0.96</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S60-</w:t>
            </w:r>
            <w:r>
              <w:rPr>
                <w:spacing w:val="-10"/>
                <w:sz w:val="20"/>
              </w:rPr>
              <w:t>4</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29.20</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3.75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1697</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1494</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48.5</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0.70</w:t>
            </w:r>
          </w:p>
        </w:tc>
      </w:tr>
      <w:tr>
        <w:trPr>
          <w:trHeight w:val="235"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rPr>
                <w:sz w:val="20"/>
              </w:rPr>
            </w:pPr>
            <w:r>
              <w:rPr>
                <w:sz w:val="20"/>
              </w:rPr>
              <w:t>E106-</w:t>
            </w:r>
            <w:r>
              <w:rPr>
                <w:spacing w:val="-10"/>
                <w:sz w:val="20"/>
              </w:rPr>
              <w:t>0</w:t>
            </w:r>
          </w:p>
        </w:tc>
        <w:tc>
          <w:tcPr>
            <w:tcW w:w="1205"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53"/>
              <w:ind w:left="0"/>
              <w:rPr>
                <w:b/>
                <w:sz w:val="20"/>
              </w:rPr>
            </w:pPr>
          </w:p>
          <w:p>
            <w:pPr>
              <w:pStyle w:val="TableParagraph"/>
              <w:spacing w:line="240" w:lineRule="auto" w:before="1"/>
              <w:ind w:left="153" w:right="134" w:hanging="7"/>
              <w:jc w:val="center"/>
              <w:rPr>
                <w:sz w:val="20"/>
              </w:rPr>
            </w:pPr>
            <w:r>
              <w:rPr>
                <w:spacing w:val="-2"/>
                <w:sz w:val="20"/>
              </w:rPr>
              <w:t>Fly-ash cenosphere </w:t>
            </w:r>
            <w:r>
              <w:rPr>
                <w:spacing w:val="-4"/>
                <w:sz w:val="20"/>
              </w:rPr>
              <w:t>E106</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rPr>
                <w:sz w:val="20"/>
              </w:rPr>
            </w:pPr>
            <w:r>
              <w:rPr>
                <w:spacing w:val="-10"/>
                <w:sz w:val="20"/>
              </w:rPr>
              <w:t>0</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rPr>
                <w:sz w:val="20"/>
              </w:rPr>
            </w:pPr>
            <w:r>
              <w:rPr>
                <w:spacing w:val="-4"/>
                <w:sz w:val="20"/>
              </w:rPr>
              <w:t>3.75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rPr>
                <w:sz w:val="20"/>
              </w:rPr>
            </w:pPr>
            <w:r>
              <w:rPr>
                <w:spacing w:val="-4"/>
                <w:sz w:val="20"/>
              </w:rPr>
              <w:t>2288</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105"/>
              <w:rPr>
                <w:sz w:val="20"/>
              </w:rPr>
            </w:pPr>
            <w:r>
              <w:rPr>
                <w:spacing w:val="-4"/>
                <w:sz w:val="20"/>
              </w:rPr>
              <w:t>1984</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104"/>
              <w:rPr>
                <w:sz w:val="20"/>
              </w:rPr>
            </w:pPr>
            <w:r>
              <w:rPr>
                <w:spacing w:val="-4"/>
                <w:sz w:val="20"/>
              </w:rPr>
              <w:t>50.6</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104"/>
              <w:rPr>
                <w:sz w:val="20"/>
              </w:rPr>
            </w:pPr>
            <w:r>
              <w:rPr>
                <w:spacing w:val="-4"/>
                <w:sz w:val="20"/>
              </w:rPr>
              <w:t>2.18</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z w:val="20"/>
              </w:rPr>
              <w:t>E106-</w:t>
            </w:r>
            <w:r>
              <w:rPr>
                <w:spacing w:val="-10"/>
                <w:sz w:val="20"/>
              </w:rPr>
              <w:t>1</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6.75</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2.25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2179</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1893</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54.5</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1.77</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z w:val="20"/>
              </w:rPr>
              <w:t>E106-</w:t>
            </w:r>
            <w:r>
              <w:rPr>
                <w:spacing w:val="-10"/>
                <w:sz w:val="20"/>
              </w:rPr>
              <w:t>2</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13.75</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2.75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2054</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1787</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59.7</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1.44</w:t>
            </w:r>
          </w:p>
        </w:tc>
      </w:tr>
      <w:tr>
        <w:trPr>
          <w:trHeight w:val="24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z w:val="20"/>
              </w:rPr>
              <w:t>E106-</w:t>
            </w:r>
            <w:r>
              <w:rPr>
                <w:spacing w:val="-10"/>
                <w:sz w:val="20"/>
              </w:rPr>
              <w:t>3</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2"/>
                <w:sz w:val="20"/>
              </w:rPr>
              <w:t>21.00</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2.75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pacing w:val="-4"/>
                <w:sz w:val="20"/>
              </w:rPr>
              <w:t>1911</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ind w:left="105"/>
              <w:rPr>
                <w:sz w:val="20"/>
              </w:rPr>
            </w:pPr>
            <w:r>
              <w:rPr>
                <w:spacing w:val="-4"/>
                <w:sz w:val="20"/>
              </w:rPr>
              <w:t>1669</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62.8</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ind w:left="104"/>
              <w:rPr>
                <w:sz w:val="20"/>
              </w:rPr>
            </w:pPr>
            <w:r>
              <w:rPr>
                <w:spacing w:val="-4"/>
                <w:sz w:val="20"/>
              </w:rPr>
              <w:t>1.15</w:t>
            </w:r>
          </w:p>
        </w:tc>
      </w:tr>
      <w:tr>
        <w:trPr>
          <w:trHeight w:val="244"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0"/>
              </w:rPr>
            </w:pPr>
            <w:r>
              <w:rPr>
                <w:sz w:val="20"/>
              </w:rPr>
              <w:t>E106-</w:t>
            </w:r>
            <w:r>
              <w:rPr>
                <w:spacing w:val="-10"/>
                <w:sz w:val="20"/>
              </w:rPr>
              <w:t>4</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0"/>
              </w:rPr>
            </w:pPr>
            <w:r>
              <w:rPr>
                <w:spacing w:val="-2"/>
                <w:sz w:val="20"/>
              </w:rPr>
              <w:t>28.50</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0"/>
              </w:rPr>
            </w:pPr>
            <w:r>
              <w:rPr>
                <w:spacing w:val="-4"/>
                <w:sz w:val="20"/>
              </w:rPr>
              <w:t>4.25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0"/>
              </w:rPr>
            </w:pPr>
            <w:r>
              <w:rPr>
                <w:spacing w:val="-4"/>
                <w:sz w:val="20"/>
              </w:rPr>
              <w:t>1706</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5"/>
              <w:rPr>
                <w:sz w:val="20"/>
              </w:rPr>
            </w:pPr>
            <w:r>
              <w:rPr>
                <w:spacing w:val="-4"/>
                <w:sz w:val="20"/>
              </w:rPr>
              <w:t>1463</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4"/>
              <w:rPr>
                <w:sz w:val="20"/>
              </w:rPr>
            </w:pPr>
            <w:r>
              <w:rPr>
                <w:spacing w:val="-4"/>
                <w:sz w:val="20"/>
              </w:rPr>
              <w:t>45.8</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4"/>
              <w:rPr>
                <w:sz w:val="20"/>
              </w:rPr>
            </w:pPr>
            <w:r>
              <w:rPr>
                <w:spacing w:val="-4"/>
                <w:sz w:val="20"/>
              </w:rPr>
              <w:t>0.85</w:t>
            </w:r>
          </w:p>
        </w:tc>
      </w:tr>
      <w:tr>
        <w:trPr>
          <w:trHeight w:val="230"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2"/>
                <w:sz w:val="20"/>
              </w:rPr>
              <w:t>E200/600-</w:t>
            </w:r>
            <w:r>
              <w:rPr>
                <w:spacing w:val="-10"/>
                <w:sz w:val="20"/>
              </w:rPr>
              <w:t>0</w:t>
            </w:r>
          </w:p>
        </w:tc>
        <w:tc>
          <w:tcPr>
            <w:tcW w:w="1205"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15"/>
              <w:ind w:left="0"/>
              <w:rPr>
                <w:b/>
                <w:sz w:val="20"/>
              </w:rPr>
            </w:pPr>
          </w:p>
          <w:p>
            <w:pPr>
              <w:pStyle w:val="TableParagraph"/>
              <w:spacing w:line="240" w:lineRule="auto"/>
              <w:ind w:left="153" w:right="134" w:hanging="7"/>
              <w:jc w:val="center"/>
              <w:rPr>
                <w:sz w:val="20"/>
              </w:rPr>
            </w:pPr>
            <w:r>
              <w:rPr>
                <w:spacing w:val="-2"/>
                <w:sz w:val="20"/>
              </w:rPr>
              <w:t>Fly-ash cenosphere E200/600</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10"/>
                <w:sz w:val="20"/>
              </w:rPr>
              <w:t>0</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5"/>
                <w:sz w:val="20"/>
              </w:rPr>
              <w:t>3.5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4"/>
                <w:sz w:val="20"/>
              </w:rPr>
              <w:t>2333</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5"/>
              <w:rPr>
                <w:sz w:val="20"/>
              </w:rPr>
            </w:pPr>
            <w:r>
              <w:rPr>
                <w:spacing w:val="-4"/>
                <w:sz w:val="20"/>
              </w:rPr>
              <w:t>2019</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4"/>
              <w:rPr>
                <w:sz w:val="20"/>
              </w:rPr>
            </w:pPr>
            <w:r>
              <w:rPr>
                <w:spacing w:val="-4"/>
                <w:sz w:val="20"/>
              </w:rPr>
              <w:t>53.5</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4"/>
              <w:rPr>
                <w:sz w:val="20"/>
              </w:rPr>
            </w:pPr>
            <w:r>
              <w:rPr>
                <w:spacing w:val="-4"/>
                <w:sz w:val="20"/>
              </w:rPr>
              <w:t>2.21</w:t>
            </w:r>
          </w:p>
        </w:tc>
      </w:tr>
      <w:tr>
        <w:trPr>
          <w:trHeight w:val="229"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2"/>
                <w:sz w:val="20"/>
              </w:rPr>
              <w:t>E200/600-</w:t>
            </w:r>
            <w:r>
              <w:rPr>
                <w:spacing w:val="-10"/>
                <w:sz w:val="20"/>
              </w:rPr>
              <w:t>1</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4"/>
                <w:sz w:val="20"/>
              </w:rPr>
              <w:t>5.77</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4"/>
                <w:sz w:val="20"/>
              </w:rPr>
              <w:t>4.75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4"/>
                <w:sz w:val="20"/>
              </w:rPr>
              <w:t>2160</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5"/>
              <w:rPr>
                <w:sz w:val="20"/>
              </w:rPr>
            </w:pPr>
            <w:r>
              <w:rPr>
                <w:spacing w:val="-4"/>
                <w:sz w:val="20"/>
              </w:rPr>
              <w:t>1858</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4"/>
              <w:rPr>
                <w:sz w:val="20"/>
              </w:rPr>
            </w:pPr>
            <w:r>
              <w:rPr>
                <w:spacing w:val="-4"/>
                <w:sz w:val="20"/>
              </w:rPr>
              <w:t>42.9</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4"/>
              <w:rPr>
                <w:sz w:val="20"/>
              </w:rPr>
            </w:pPr>
            <w:r>
              <w:rPr>
                <w:spacing w:val="-4"/>
                <w:sz w:val="20"/>
              </w:rPr>
              <w:t>1.77</w:t>
            </w:r>
          </w:p>
        </w:tc>
      </w:tr>
      <w:tr>
        <w:trPr>
          <w:trHeight w:val="230"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spacing w:line="211" w:lineRule="exact"/>
              <w:rPr>
                <w:sz w:val="20"/>
              </w:rPr>
            </w:pPr>
            <w:r>
              <w:rPr>
                <w:spacing w:val="-2"/>
                <w:sz w:val="20"/>
              </w:rPr>
              <w:t>E200/600-</w:t>
            </w:r>
            <w:r>
              <w:rPr>
                <w:spacing w:val="-10"/>
                <w:sz w:val="20"/>
              </w:rPr>
              <w:t>2</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11" w:lineRule="exact"/>
              <w:rPr>
                <w:sz w:val="20"/>
              </w:rPr>
            </w:pPr>
            <w:r>
              <w:rPr>
                <w:spacing w:val="-2"/>
                <w:sz w:val="20"/>
              </w:rPr>
              <w:t>11.81</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line="211" w:lineRule="exact"/>
              <w:rPr>
                <w:sz w:val="20"/>
              </w:rPr>
            </w:pPr>
            <w:r>
              <w:rPr>
                <w:spacing w:val="-4"/>
                <w:sz w:val="20"/>
              </w:rPr>
              <w:t>4.25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211" w:lineRule="exact"/>
              <w:rPr>
                <w:sz w:val="20"/>
              </w:rPr>
            </w:pPr>
            <w:r>
              <w:rPr>
                <w:spacing w:val="-4"/>
                <w:sz w:val="20"/>
              </w:rPr>
              <w:t>1992</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spacing w:line="211" w:lineRule="exact"/>
              <w:ind w:left="105"/>
              <w:rPr>
                <w:sz w:val="20"/>
              </w:rPr>
            </w:pPr>
            <w:r>
              <w:rPr>
                <w:spacing w:val="-4"/>
                <w:sz w:val="20"/>
              </w:rPr>
              <w:t>1708</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line="211" w:lineRule="exact"/>
              <w:ind w:left="104"/>
              <w:rPr>
                <w:sz w:val="20"/>
              </w:rPr>
            </w:pPr>
            <w:r>
              <w:rPr>
                <w:spacing w:val="-4"/>
                <w:sz w:val="20"/>
              </w:rPr>
              <w:t>43.9</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spacing w:line="211" w:lineRule="exact"/>
              <w:ind w:left="104"/>
              <w:rPr>
                <w:sz w:val="20"/>
              </w:rPr>
            </w:pPr>
            <w:r>
              <w:rPr>
                <w:spacing w:val="-4"/>
                <w:sz w:val="20"/>
              </w:rPr>
              <w:t>1.39</w:t>
            </w:r>
          </w:p>
        </w:tc>
      </w:tr>
      <w:tr>
        <w:trPr>
          <w:trHeight w:val="230"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2"/>
                <w:sz w:val="20"/>
              </w:rPr>
              <w:t>E200/600-</w:t>
            </w:r>
            <w:r>
              <w:rPr>
                <w:spacing w:val="-10"/>
                <w:sz w:val="20"/>
              </w:rPr>
              <w:t>3</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2"/>
                <w:sz w:val="20"/>
              </w:rPr>
              <w:t>18.21</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4"/>
                <w:sz w:val="20"/>
              </w:rPr>
              <w:t>5.75</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4"/>
                <w:sz w:val="20"/>
              </w:rPr>
              <w:t>1841</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5"/>
              <w:rPr>
                <w:sz w:val="20"/>
              </w:rPr>
            </w:pPr>
            <w:r>
              <w:rPr>
                <w:spacing w:val="-4"/>
                <w:sz w:val="20"/>
              </w:rPr>
              <w:t>1553</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4"/>
              <w:rPr>
                <w:sz w:val="20"/>
              </w:rPr>
            </w:pPr>
            <w:r>
              <w:rPr>
                <w:spacing w:val="-4"/>
                <w:sz w:val="20"/>
              </w:rPr>
              <w:t>40.4</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4"/>
              <w:rPr>
                <w:sz w:val="20"/>
              </w:rPr>
            </w:pPr>
            <w:r>
              <w:rPr>
                <w:spacing w:val="-4"/>
                <w:sz w:val="20"/>
              </w:rPr>
              <w:t>1.07</w:t>
            </w:r>
          </w:p>
        </w:tc>
      </w:tr>
      <w:tr>
        <w:trPr>
          <w:trHeight w:val="230" w:hRule="atLeast"/>
        </w:trPr>
        <w:tc>
          <w:tcPr>
            <w:tcW w:w="140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2"/>
                <w:sz w:val="20"/>
              </w:rPr>
              <w:t>E200/600-</w:t>
            </w:r>
            <w:r>
              <w:rPr>
                <w:spacing w:val="-10"/>
                <w:sz w:val="20"/>
              </w:rPr>
              <w:t>4</w:t>
            </w:r>
          </w:p>
        </w:tc>
        <w:tc>
          <w:tcPr>
            <w:tcW w:w="1205" w:type="dxa"/>
            <w:vMerge/>
            <w:tcBorders>
              <w:top w:val="nil"/>
              <w:left w:val="single" w:sz="4" w:space="0" w:color="000000"/>
              <w:bottom w:val="single" w:sz="4" w:space="0" w:color="000000"/>
              <w:right w:val="single" w:sz="4" w:space="0" w:color="000000"/>
            </w:tcBorders>
          </w:tcPr>
          <w:p>
            <w:pPr>
              <w:rPr>
                <w:sz w:val="2"/>
                <w:szCs w:val="2"/>
              </w:rPr>
            </w:pP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2"/>
                <w:sz w:val="20"/>
              </w:rPr>
              <w:t>24.51</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10"/>
                <w:sz w:val="20"/>
              </w:rPr>
              <w:t>6</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rPr>
                <w:sz w:val="20"/>
              </w:rPr>
            </w:pPr>
            <w:r>
              <w:rPr>
                <w:spacing w:val="-4"/>
                <w:sz w:val="20"/>
              </w:rPr>
              <w:t>1655</w:t>
            </w:r>
          </w:p>
        </w:tc>
        <w:tc>
          <w:tcPr>
            <w:tcW w:w="913"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5"/>
              <w:rPr>
                <w:sz w:val="20"/>
              </w:rPr>
            </w:pPr>
            <w:r>
              <w:rPr>
                <w:spacing w:val="-4"/>
                <w:sz w:val="20"/>
              </w:rPr>
              <w:t>1396</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4"/>
              <w:rPr>
                <w:sz w:val="20"/>
              </w:rPr>
            </w:pPr>
            <w:r>
              <w:rPr>
                <w:spacing w:val="-4"/>
                <w:sz w:val="20"/>
              </w:rPr>
              <w:t>35.4</w:t>
            </w:r>
          </w:p>
        </w:tc>
        <w:tc>
          <w:tcPr>
            <w:tcW w:w="1330"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4"/>
              <w:rPr>
                <w:sz w:val="20"/>
              </w:rPr>
            </w:pPr>
            <w:r>
              <w:rPr>
                <w:spacing w:val="-4"/>
                <w:sz w:val="20"/>
              </w:rPr>
              <w:t>0.80</w:t>
            </w:r>
          </w:p>
        </w:tc>
      </w:tr>
    </w:tbl>
    <w:p>
      <w:pPr>
        <w:pStyle w:val="Heading1"/>
      </w:pPr>
      <w:r>
        <w:rPr/>
        <w:t>RESULTS</w:t>
      </w:r>
      <w:r>
        <w:rPr>
          <w:spacing w:val="-3"/>
        </w:rPr>
        <w:t> </w:t>
      </w:r>
      <w:r>
        <w:rPr/>
        <w:t>AND</w:t>
      </w:r>
      <w:r>
        <w:rPr>
          <w:spacing w:val="-3"/>
        </w:rPr>
        <w:t> </w:t>
      </w:r>
      <w:r>
        <w:rPr>
          <w:spacing w:val="-2"/>
        </w:rPr>
        <w:t>DISCUSSION</w:t>
      </w:r>
    </w:p>
    <w:p>
      <w:pPr>
        <w:pStyle w:val="Heading2"/>
        <w:spacing w:before="199"/>
      </w:pPr>
      <w:r>
        <w:rPr/>
        <w:t>Compressive</w:t>
      </w:r>
      <w:r>
        <w:rPr>
          <w:spacing w:val="-6"/>
        </w:rPr>
        <w:t> </w:t>
      </w:r>
      <w:r>
        <w:rPr>
          <w:spacing w:val="-2"/>
        </w:rPr>
        <w:t>Strength</w:t>
      </w:r>
    </w:p>
    <w:p>
      <w:pPr>
        <w:pStyle w:val="BodyText"/>
        <w:spacing w:before="195"/>
        <w:ind w:right="391" w:firstLine="360"/>
        <w:rPr>
          <w:position w:val="2"/>
        </w:rPr>
      </w:pPr>
      <w:r>
        <w:rPr/>
        <w:t>Table 2 lists the density</w:t>
      </w:r>
      <w:r>
        <w:rPr>
          <w:spacing w:val="-8"/>
        </w:rPr>
        <w:t> </w:t>
      </w:r>
      <w:r>
        <w:rPr/>
        <w:t>(oven-dry), mechanical, and thermal</w:t>
      </w:r>
      <w:r>
        <w:rPr>
          <w:spacing w:val="-3"/>
        </w:rPr>
        <w:t> </w:t>
      </w:r>
      <w:r>
        <w:rPr/>
        <w:t>properties of</w:t>
      </w:r>
      <w:r>
        <w:rPr>
          <w:spacing w:val="-6"/>
        </w:rPr>
        <w:t> </w:t>
      </w:r>
      <w:r>
        <w:rPr/>
        <w:t>LWCC tested</w:t>
      </w:r>
      <w:r>
        <w:rPr>
          <w:spacing w:val="-3"/>
        </w:rPr>
        <w:t> </w:t>
      </w:r>
      <w:r>
        <w:rPr/>
        <w:t>in this study. The average 28-day compressive strength of LWCC mixtures with different </w:t>
      </w:r>
      <w:r>
        <w:rPr>
          <w:position w:val="2"/>
        </w:rPr>
        <w:t>lightweight functional fillers and volume fractions (</w:t>
      </w:r>
      <w:r>
        <w:rPr>
          <w:i/>
          <w:position w:val="2"/>
        </w:rPr>
        <w:t>v</w:t>
      </w:r>
      <w:r>
        <w:rPr>
          <w:i/>
          <w:sz w:val="16"/>
        </w:rPr>
        <w:t>f</w:t>
      </w:r>
      <w:r>
        <w:rPr>
          <w:position w:val="2"/>
        </w:rPr>
        <w:t>) are summarized in Figure 4, where the </w:t>
      </w:r>
      <w:r>
        <w:rPr/>
        <w:t>compressive strength is plotted against oven dry</w:t>
      </w:r>
      <w:r>
        <w:rPr>
          <w:spacing w:val="-4"/>
        </w:rPr>
        <w:t> </w:t>
      </w:r>
      <w:r>
        <w:rPr/>
        <w:t>density. It was</w:t>
      </w:r>
      <w:r>
        <w:rPr>
          <w:spacing w:val="-1"/>
        </w:rPr>
        <w:t> </w:t>
      </w:r>
      <w:r>
        <w:rPr/>
        <w:t>observed that the compressive strength of LWCC mortars containing HGM and FAC is a function of LWF particle size and </w:t>
      </w:r>
      <w:r>
        <w:rPr>
          <w:position w:val="2"/>
        </w:rPr>
        <w:t>shell</w:t>
      </w:r>
      <w:r>
        <w:rPr>
          <w:spacing w:val="-6"/>
          <w:position w:val="2"/>
        </w:rPr>
        <w:t> </w:t>
      </w:r>
      <w:r>
        <w:rPr>
          <w:position w:val="2"/>
        </w:rPr>
        <w:t>property</w:t>
      </w:r>
      <w:r>
        <w:rPr>
          <w:spacing w:val="-11"/>
          <w:position w:val="2"/>
        </w:rPr>
        <w:t> </w:t>
      </w:r>
      <w:r>
        <w:rPr>
          <w:position w:val="2"/>
        </w:rPr>
        <w:t>(e.g.,</w:t>
      </w:r>
      <w:r>
        <w:rPr>
          <w:spacing w:val="-4"/>
          <w:position w:val="2"/>
        </w:rPr>
        <w:t> </w:t>
      </w:r>
      <w:r>
        <w:rPr>
          <w:position w:val="2"/>
        </w:rPr>
        <w:t>thickness)</w:t>
      </w:r>
      <w:r>
        <w:rPr>
          <w:spacing w:val="-1"/>
          <w:position w:val="2"/>
        </w:rPr>
        <w:t> </w:t>
      </w:r>
      <w:r>
        <w:rPr>
          <w:position w:val="2"/>
        </w:rPr>
        <w:t>of</w:t>
      </w:r>
      <w:r>
        <w:rPr>
          <w:spacing w:val="-9"/>
          <w:position w:val="2"/>
        </w:rPr>
        <w:t> </w:t>
      </w:r>
      <w:r>
        <w:rPr>
          <w:position w:val="2"/>
        </w:rPr>
        <w:t>the</w:t>
      </w:r>
      <w:r>
        <w:rPr>
          <w:spacing w:val="-2"/>
          <w:position w:val="2"/>
        </w:rPr>
        <w:t> </w:t>
      </w:r>
      <w:r>
        <w:rPr>
          <w:position w:val="2"/>
        </w:rPr>
        <w:t>LWF</w:t>
      </w:r>
      <w:r>
        <w:rPr>
          <w:spacing w:val="-1"/>
          <w:position w:val="2"/>
        </w:rPr>
        <w:t> </w:t>
      </w:r>
      <w:r>
        <w:rPr>
          <w:position w:val="2"/>
        </w:rPr>
        <w:t>included. When </w:t>
      </w:r>
      <w:r>
        <w:rPr>
          <w:i/>
          <w:position w:val="2"/>
        </w:rPr>
        <w:t>v</w:t>
      </w:r>
      <w:r>
        <w:rPr>
          <w:i/>
          <w:sz w:val="16"/>
        </w:rPr>
        <w:t>f</w:t>
      </w:r>
      <w:r>
        <w:rPr>
          <w:i/>
          <w:spacing w:val="22"/>
          <w:sz w:val="16"/>
        </w:rPr>
        <w:t> </w:t>
      </w:r>
      <w:r>
        <w:rPr>
          <w:position w:val="2"/>
        </w:rPr>
        <w:t>is</w:t>
      </w:r>
      <w:r>
        <w:rPr>
          <w:spacing w:val="-3"/>
          <w:position w:val="2"/>
        </w:rPr>
        <w:t> </w:t>
      </w:r>
      <w:r>
        <w:rPr>
          <w:position w:val="2"/>
        </w:rPr>
        <w:t>small</w:t>
      </w:r>
      <w:r>
        <w:rPr>
          <w:spacing w:val="-10"/>
          <w:position w:val="2"/>
        </w:rPr>
        <w:t> </w:t>
      </w:r>
      <w:r>
        <w:rPr>
          <w:position w:val="2"/>
        </w:rPr>
        <w:t>(&lt;15%),</w:t>
      </w:r>
      <w:r>
        <w:rPr>
          <w:spacing w:val="-4"/>
          <w:position w:val="2"/>
        </w:rPr>
        <w:t> </w:t>
      </w:r>
      <w:r>
        <w:rPr>
          <w:position w:val="2"/>
        </w:rPr>
        <w:t>the</w:t>
      </w:r>
      <w:r>
        <w:rPr>
          <w:spacing w:val="-2"/>
          <w:position w:val="2"/>
        </w:rPr>
        <w:t> </w:t>
      </w:r>
      <w:r>
        <w:rPr>
          <w:position w:val="2"/>
        </w:rPr>
        <w:t>compressive</w:t>
      </w:r>
    </w:p>
    <w:p>
      <w:pPr>
        <w:pStyle w:val="BodyText"/>
        <w:spacing w:after="0"/>
        <w:rPr>
          <w:position w:val="2"/>
        </w:rPr>
        <w:sectPr>
          <w:pgSz w:w="12240" w:h="15840"/>
          <w:pgMar w:header="720" w:footer="746" w:top="1340" w:bottom="940" w:left="1440" w:right="1080"/>
        </w:sectPr>
      </w:pPr>
    </w:p>
    <w:p>
      <w:pPr>
        <w:pStyle w:val="BodyText"/>
        <w:spacing w:before="80"/>
        <w:ind w:right="398"/>
      </w:pPr>
      <w:r>
        <w:rPr/>
        <mc:AlternateContent>
          <mc:Choice Requires="wps">
            <w:drawing>
              <wp:anchor distT="0" distB="0" distL="0" distR="0" allowOverlap="1" layoutInCell="1" locked="0" behindDoc="0" simplePos="0" relativeHeight="15736832">
                <wp:simplePos x="0" y="0"/>
                <wp:positionH relativeFrom="page">
                  <wp:posOffset>-1637</wp:posOffset>
                </wp:positionH>
                <wp:positionV relativeFrom="page">
                  <wp:posOffset>2272607</wp:posOffset>
                </wp:positionV>
                <wp:extent cx="138430" cy="551370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6832" type="#_x0000_t202" id="docshape22"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strength of LWCC mortars increases with higher HGM concentrations, see Figure 4 (a). This finding is believed to be due to the spherical shape of HGM, which improves the rheological property of fresh mortar mixes and reduces the air content. The compressive strength starts to decrease when the volume fraction of</w:t>
      </w:r>
      <w:r>
        <w:rPr>
          <w:spacing w:val="-3"/>
        </w:rPr>
        <w:t> </w:t>
      </w:r>
      <w:r>
        <w:rPr/>
        <w:t>HGM becomes higher (&gt; 15%) – i.e., the hollow structure of HGMs allows the stress cracks to propagate through the particle shell to cause damage and material failure. It is noted that with the same LWF volume concentration (or density), mortars having smaller size</w:t>
      </w:r>
      <w:r>
        <w:rPr>
          <w:spacing w:val="-1"/>
        </w:rPr>
        <w:t> </w:t>
      </w:r>
      <w:r>
        <w:rPr/>
        <w:t>HGM</w:t>
      </w:r>
      <w:r>
        <w:rPr>
          <w:spacing w:val="-2"/>
        </w:rPr>
        <w:t> </w:t>
      </w:r>
      <w:r>
        <w:rPr/>
        <w:t>particles</w:t>
      </w:r>
      <w:r>
        <w:rPr>
          <w:spacing w:val="-2"/>
        </w:rPr>
        <w:t> </w:t>
      </w:r>
      <w:r>
        <w:rPr/>
        <w:t>and thicker shell</w:t>
      </w:r>
      <w:r>
        <w:rPr>
          <w:spacing w:val="-3"/>
        </w:rPr>
        <w:t> </w:t>
      </w:r>
      <w:r>
        <w:rPr/>
        <w:t>yield higher mechanical</w:t>
      </w:r>
      <w:r>
        <w:rPr>
          <w:spacing w:val="-4"/>
        </w:rPr>
        <w:t> </w:t>
      </w:r>
      <w:r>
        <w:rPr/>
        <w:t>strength. This</w:t>
      </w:r>
      <w:r>
        <w:rPr>
          <w:spacing w:val="-2"/>
        </w:rPr>
        <w:t> </w:t>
      </w:r>
      <w:r>
        <w:rPr/>
        <w:t>trend </w:t>
      </w:r>
      <w:r>
        <w:rPr>
          <w:position w:val="2"/>
        </w:rPr>
        <w:t>becomes</w:t>
      </w:r>
      <w:r>
        <w:rPr>
          <w:spacing w:val="-1"/>
          <w:position w:val="2"/>
        </w:rPr>
        <w:t> </w:t>
      </w:r>
      <w:r>
        <w:rPr>
          <w:position w:val="2"/>
        </w:rPr>
        <w:t>more</w:t>
      </w:r>
      <w:r>
        <w:rPr>
          <w:spacing w:val="-4"/>
          <w:position w:val="2"/>
        </w:rPr>
        <w:t> </w:t>
      </w:r>
      <w:r>
        <w:rPr>
          <w:position w:val="2"/>
        </w:rPr>
        <w:t>notable</w:t>
      </w:r>
      <w:r>
        <w:rPr>
          <w:spacing w:val="-4"/>
          <w:position w:val="2"/>
        </w:rPr>
        <w:t> </w:t>
      </w:r>
      <w:r>
        <w:rPr>
          <w:position w:val="2"/>
        </w:rPr>
        <w:t>when</w:t>
      </w:r>
      <w:r>
        <w:rPr>
          <w:spacing w:val="-7"/>
          <w:position w:val="2"/>
        </w:rPr>
        <w:t> </w:t>
      </w:r>
      <w:r>
        <w:rPr>
          <w:position w:val="2"/>
        </w:rPr>
        <w:t>LWF</w:t>
      </w:r>
      <w:r>
        <w:rPr>
          <w:spacing w:val="-7"/>
          <w:position w:val="2"/>
        </w:rPr>
        <w:t> </w:t>
      </w:r>
      <w:r>
        <w:rPr>
          <w:position w:val="2"/>
        </w:rPr>
        <w:t>volume fraction </w:t>
      </w:r>
      <w:r>
        <w:rPr>
          <w:i/>
          <w:position w:val="2"/>
        </w:rPr>
        <w:t>v</w:t>
      </w:r>
      <w:r>
        <w:rPr>
          <w:i/>
          <w:sz w:val="16"/>
        </w:rPr>
        <w:t>f</w:t>
      </w:r>
      <w:r>
        <w:rPr>
          <w:i/>
          <w:spacing w:val="16"/>
          <w:sz w:val="16"/>
        </w:rPr>
        <w:t> </w:t>
      </w:r>
      <w:r>
        <w:rPr>
          <w:position w:val="2"/>
        </w:rPr>
        <w:t>is</w:t>
      </w:r>
      <w:r>
        <w:rPr>
          <w:spacing w:val="-5"/>
          <w:position w:val="2"/>
        </w:rPr>
        <w:t> </w:t>
      </w:r>
      <w:r>
        <w:rPr>
          <w:position w:val="2"/>
        </w:rPr>
        <w:t>high.</w:t>
      </w:r>
      <w:r>
        <w:rPr>
          <w:spacing w:val="-1"/>
          <w:position w:val="2"/>
        </w:rPr>
        <w:t> </w:t>
      </w:r>
      <w:r>
        <w:rPr>
          <w:position w:val="2"/>
        </w:rPr>
        <w:t>At </w:t>
      </w:r>
      <w:r>
        <w:rPr>
          <w:i/>
          <w:position w:val="2"/>
        </w:rPr>
        <w:t>v</w:t>
      </w:r>
      <w:r>
        <w:rPr>
          <w:i/>
          <w:sz w:val="16"/>
        </w:rPr>
        <w:t>f</w:t>
      </w:r>
      <w:r>
        <w:rPr>
          <w:i/>
          <w:spacing w:val="16"/>
          <w:sz w:val="16"/>
        </w:rPr>
        <w:t> </w:t>
      </w:r>
      <w:r>
        <w:rPr>
          <w:position w:val="2"/>
        </w:rPr>
        <w:t>=</w:t>
      </w:r>
      <w:r>
        <w:rPr>
          <w:spacing w:val="-4"/>
          <w:position w:val="2"/>
        </w:rPr>
        <w:t> </w:t>
      </w:r>
      <w:r>
        <w:rPr>
          <w:position w:val="2"/>
        </w:rPr>
        <w:t>7%,</w:t>
      </w:r>
      <w:r>
        <w:rPr>
          <w:spacing w:val="-6"/>
          <w:position w:val="2"/>
        </w:rPr>
        <w:t> </w:t>
      </w:r>
      <w:r>
        <w:rPr>
          <w:position w:val="2"/>
        </w:rPr>
        <w:t>the</w:t>
      </w:r>
      <w:r>
        <w:rPr>
          <w:spacing w:val="-4"/>
          <w:position w:val="2"/>
        </w:rPr>
        <w:t> </w:t>
      </w:r>
      <w:r>
        <w:rPr>
          <w:position w:val="2"/>
        </w:rPr>
        <w:t>HGM</w:t>
      </w:r>
      <w:r>
        <w:rPr>
          <w:spacing w:val="-5"/>
          <w:position w:val="2"/>
        </w:rPr>
        <w:t> </w:t>
      </w:r>
      <w:r>
        <w:rPr>
          <w:position w:val="2"/>
        </w:rPr>
        <w:t>S60</w:t>
      </w:r>
      <w:r>
        <w:rPr>
          <w:spacing w:val="-3"/>
          <w:position w:val="2"/>
        </w:rPr>
        <w:t> </w:t>
      </w:r>
      <w:r>
        <w:rPr>
          <w:position w:val="2"/>
        </w:rPr>
        <w:t>mortar</w:t>
      </w:r>
      <w:r>
        <w:rPr>
          <w:spacing w:val="-2"/>
          <w:position w:val="2"/>
        </w:rPr>
        <w:t> </w:t>
      </w:r>
      <w:r>
        <w:rPr>
          <w:position w:val="2"/>
        </w:rPr>
        <w:t>is 32% (15 MPa) stronger than the mortar containing K25 particles; whereas at</w:t>
      </w:r>
      <w:r>
        <w:rPr>
          <w:spacing w:val="28"/>
          <w:position w:val="2"/>
        </w:rPr>
        <w:t> </w:t>
      </w:r>
      <w:r>
        <w:rPr>
          <w:i/>
          <w:position w:val="2"/>
        </w:rPr>
        <w:t>v</w:t>
      </w:r>
      <w:r>
        <w:rPr>
          <w:i/>
          <w:sz w:val="16"/>
        </w:rPr>
        <w:t>f</w:t>
      </w:r>
      <w:r>
        <w:rPr>
          <w:i/>
          <w:spacing w:val="28"/>
          <w:sz w:val="16"/>
        </w:rPr>
        <w:t> </w:t>
      </w:r>
      <w:r>
        <w:rPr>
          <w:position w:val="2"/>
        </w:rPr>
        <w:t>= 28%, S60 </w:t>
      </w:r>
      <w:r>
        <w:rPr/>
        <w:t>mortar is about 125% (27 MPa) stronger than the K25 mortar. It is worthwhile mentioning that the compressive strength of LWCC mortars mixed with nearly 30% (total volume fraction) of H50 and S60 HGM particles are almost the same as the reference mortar while their densities were about 25% lower than the reference mortar, see Table 2 and Figure 3 (a). This finding indicates significant potential for the design of high strength lightweight cementitious</w:t>
      </w:r>
      <w:r>
        <w:rPr>
          <w:spacing w:val="40"/>
        </w:rPr>
        <w:t> </w:t>
      </w:r>
      <w:r>
        <w:rPr/>
        <w:t>composites for structural load-bearing applications.</w:t>
      </w:r>
    </w:p>
    <w:p>
      <w:pPr>
        <w:pStyle w:val="BodyText"/>
        <w:spacing w:before="5"/>
        <w:rPr>
          <w:sz w:val="15"/>
        </w:rPr>
      </w:pPr>
      <w:r>
        <w:rPr>
          <w:sz w:val="15"/>
        </w:rPr>
        <w:drawing>
          <wp:anchor distT="0" distB="0" distL="0" distR="0" allowOverlap="1" layoutInCell="1" locked="0" behindDoc="1" simplePos="0" relativeHeight="487595520">
            <wp:simplePos x="0" y="0"/>
            <wp:positionH relativeFrom="page">
              <wp:posOffset>1295400</wp:posOffset>
            </wp:positionH>
            <wp:positionV relativeFrom="paragraph">
              <wp:posOffset>128287</wp:posOffset>
            </wp:positionV>
            <wp:extent cx="5170965" cy="2258568"/>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3" cstate="print"/>
                    <a:stretch>
                      <a:fillRect/>
                    </a:stretch>
                  </pic:blipFill>
                  <pic:spPr>
                    <a:xfrm>
                      <a:off x="0" y="0"/>
                      <a:ext cx="5170965" cy="2258568"/>
                    </a:xfrm>
                    <a:prstGeom prst="rect">
                      <a:avLst/>
                    </a:prstGeom>
                  </pic:spPr>
                </pic:pic>
              </a:graphicData>
            </a:graphic>
          </wp:anchor>
        </w:drawing>
      </w:r>
    </w:p>
    <w:p>
      <w:pPr>
        <w:pStyle w:val="Heading2"/>
        <w:spacing w:line="237" w:lineRule="auto" w:before="15"/>
        <w:ind w:left="1153" w:hanging="490"/>
      </w:pPr>
      <w:r>
        <w:rPr/>
        <w:t>Figure</w:t>
      </w:r>
      <w:r>
        <w:rPr>
          <w:spacing w:val="-4"/>
        </w:rPr>
        <w:t> </w:t>
      </w:r>
      <w:r>
        <w:rPr/>
        <w:t>4.</w:t>
      </w:r>
      <w:r>
        <w:rPr>
          <w:spacing w:val="-1"/>
        </w:rPr>
        <w:t> </w:t>
      </w:r>
      <w:r>
        <w:rPr/>
        <w:t>Compressive</w:t>
      </w:r>
      <w:r>
        <w:rPr>
          <w:spacing w:val="-4"/>
        </w:rPr>
        <w:t> </w:t>
      </w:r>
      <w:r>
        <w:rPr/>
        <w:t>strength</w:t>
      </w:r>
      <w:r>
        <w:rPr>
          <w:spacing w:val="-3"/>
        </w:rPr>
        <w:t> </w:t>
      </w:r>
      <w:r>
        <w:rPr/>
        <w:t>versus</w:t>
      </w:r>
      <w:r>
        <w:rPr>
          <w:spacing w:val="-5"/>
        </w:rPr>
        <w:t> </w:t>
      </w:r>
      <w:r>
        <w:rPr/>
        <w:t>density</w:t>
      </w:r>
      <w:r>
        <w:rPr>
          <w:spacing w:val="-3"/>
        </w:rPr>
        <w:t> </w:t>
      </w:r>
      <w:r>
        <w:rPr/>
        <w:t>for</w:t>
      </w:r>
      <w:r>
        <w:rPr>
          <w:spacing w:val="-9"/>
        </w:rPr>
        <w:t> </w:t>
      </w:r>
      <w:r>
        <w:rPr/>
        <w:t>(a)</w:t>
      </w:r>
      <w:r>
        <w:rPr>
          <w:spacing w:val="-2"/>
        </w:rPr>
        <w:t> </w:t>
      </w:r>
      <w:r>
        <w:rPr/>
        <w:t>LWCC</w:t>
      </w:r>
      <w:r>
        <w:rPr>
          <w:spacing w:val="-4"/>
        </w:rPr>
        <w:t> </w:t>
      </w:r>
      <w:r>
        <w:rPr/>
        <w:t>with</w:t>
      </w:r>
      <w:r>
        <w:rPr>
          <w:spacing w:val="-7"/>
        </w:rPr>
        <w:t> </w:t>
      </w:r>
      <w:r>
        <w:rPr/>
        <w:t>hollow</w:t>
      </w:r>
      <w:r>
        <w:rPr>
          <w:spacing w:val="-4"/>
        </w:rPr>
        <w:t> </w:t>
      </w:r>
      <w:r>
        <w:rPr/>
        <w:t>glass microspheres (HGM) and (b) LWCC with fly-ash cenespheres FACs.</w:t>
      </w:r>
    </w:p>
    <w:p>
      <w:pPr>
        <w:pStyle w:val="BodyText"/>
        <w:spacing w:line="237" w:lineRule="auto" w:before="203"/>
        <w:ind w:right="389" w:firstLine="360"/>
      </w:pPr>
      <w:r>
        <w:rPr/>
        <w:t>A similar trend was observed for LWCCs containing FACs. Generally, LWCC containing larger</w:t>
      </w:r>
      <w:r>
        <w:rPr>
          <w:spacing w:val="-2"/>
        </w:rPr>
        <w:t> </w:t>
      </w:r>
      <w:r>
        <w:rPr/>
        <w:t>FAC</w:t>
      </w:r>
      <w:r>
        <w:rPr>
          <w:spacing w:val="-5"/>
        </w:rPr>
        <w:t> </w:t>
      </w:r>
      <w:r>
        <w:rPr/>
        <w:t>particles</w:t>
      </w:r>
      <w:r>
        <w:rPr>
          <w:spacing w:val="-5"/>
        </w:rPr>
        <w:t> </w:t>
      </w:r>
      <w:r>
        <w:rPr/>
        <w:t>(i.e.,</w:t>
      </w:r>
      <w:r>
        <w:rPr>
          <w:spacing w:val="-1"/>
        </w:rPr>
        <w:t> </w:t>
      </w:r>
      <w:r>
        <w:rPr/>
        <w:t>E200/600)</w:t>
      </w:r>
      <w:r>
        <w:rPr>
          <w:spacing w:val="-2"/>
        </w:rPr>
        <w:t> </w:t>
      </w:r>
      <w:r>
        <w:rPr/>
        <w:t>have lower</w:t>
      </w:r>
      <w:r>
        <w:rPr>
          <w:spacing w:val="-2"/>
        </w:rPr>
        <w:t> </w:t>
      </w:r>
      <w:r>
        <w:rPr/>
        <w:t>strength</w:t>
      </w:r>
      <w:r>
        <w:rPr>
          <w:spacing w:val="-3"/>
        </w:rPr>
        <w:t> </w:t>
      </w:r>
      <w:r>
        <w:rPr/>
        <w:t>for</w:t>
      </w:r>
      <w:r>
        <w:rPr>
          <w:spacing w:val="-2"/>
        </w:rPr>
        <w:t> </w:t>
      </w:r>
      <w:r>
        <w:rPr/>
        <w:t>given</w:t>
      </w:r>
      <w:r>
        <w:rPr>
          <w:spacing w:val="-8"/>
        </w:rPr>
        <w:t> </w:t>
      </w:r>
      <w:r>
        <w:rPr/>
        <w:t>FAC</w:t>
      </w:r>
      <w:r>
        <w:rPr>
          <w:spacing w:val="-5"/>
        </w:rPr>
        <w:t> </w:t>
      </w:r>
      <w:r>
        <w:rPr/>
        <w:t>volume fraction.</w:t>
      </w:r>
      <w:r>
        <w:rPr>
          <w:spacing w:val="-1"/>
        </w:rPr>
        <w:t> </w:t>
      </w:r>
      <w:r>
        <w:rPr/>
        <w:t>For</w:t>
      </w:r>
      <w:r>
        <w:rPr>
          <w:spacing w:val="-6"/>
        </w:rPr>
        <w:t> </w:t>
      </w:r>
      <w:r>
        <w:rPr/>
        <w:t>the LWCC group having E200/600 cenospheres, the compressive strength shows a continuously </w:t>
      </w:r>
      <w:r>
        <w:rPr>
          <w:position w:val="2"/>
        </w:rPr>
        <w:t>descending trend as </w:t>
      </w:r>
      <w:r>
        <w:rPr>
          <w:i/>
          <w:position w:val="2"/>
        </w:rPr>
        <w:t>v</w:t>
      </w:r>
      <w:r>
        <w:rPr>
          <w:i/>
          <w:sz w:val="16"/>
        </w:rPr>
        <w:t>f</w:t>
      </w:r>
      <w:r>
        <w:rPr>
          <w:i/>
          <w:spacing w:val="21"/>
          <w:sz w:val="16"/>
        </w:rPr>
        <w:t> </w:t>
      </w:r>
      <w:r>
        <w:rPr>
          <w:position w:val="2"/>
        </w:rPr>
        <w:t>becomes higher. As for E106,</w:t>
      </w:r>
      <w:r>
        <w:rPr>
          <w:spacing w:val="-1"/>
          <w:position w:val="2"/>
        </w:rPr>
        <w:t> </w:t>
      </w:r>
      <w:r>
        <w:rPr>
          <w:position w:val="2"/>
        </w:rPr>
        <w:t>the mortar</w:t>
      </w:r>
      <w:r>
        <w:rPr>
          <w:spacing w:val="-1"/>
          <w:position w:val="2"/>
        </w:rPr>
        <w:t> </w:t>
      </w:r>
      <w:r>
        <w:rPr>
          <w:position w:val="2"/>
        </w:rPr>
        <w:t>strength</w:t>
      </w:r>
      <w:r>
        <w:rPr>
          <w:spacing w:val="-3"/>
          <w:position w:val="2"/>
        </w:rPr>
        <w:t> </w:t>
      </w:r>
      <w:r>
        <w:rPr>
          <w:position w:val="2"/>
        </w:rPr>
        <w:t>peaks at </w:t>
      </w:r>
      <w:r>
        <w:rPr>
          <w:i/>
          <w:position w:val="2"/>
        </w:rPr>
        <w:t>v</w:t>
      </w:r>
      <w:r>
        <w:rPr>
          <w:i/>
          <w:sz w:val="16"/>
        </w:rPr>
        <w:t>f</w:t>
      </w:r>
      <w:r>
        <w:rPr>
          <w:i/>
          <w:spacing w:val="21"/>
          <w:sz w:val="16"/>
        </w:rPr>
        <w:t> </w:t>
      </w:r>
      <w:r>
        <w:rPr>
          <w:position w:val="2"/>
        </w:rPr>
        <w:t>=</w:t>
      </w:r>
      <w:r>
        <w:rPr>
          <w:spacing w:val="-4"/>
          <w:position w:val="2"/>
        </w:rPr>
        <w:t> </w:t>
      </w:r>
      <w:r>
        <w:rPr>
          <w:position w:val="2"/>
        </w:rPr>
        <w:t>21% and it decreases rapidly when </w:t>
      </w:r>
      <w:r>
        <w:rPr>
          <w:i/>
          <w:position w:val="2"/>
        </w:rPr>
        <w:t>v</w:t>
      </w:r>
      <w:r>
        <w:rPr>
          <w:i/>
          <w:sz w:val="16"/>
        </w:rPr>
        <w:t>f</w:t>
      </w:r>
      <w:r>
        <w:rPr>
          <w:i/>
          <w:spacing w:val="31"/>
          <w:sz w:val="16"/>
        </w:rPr>
        <w:t> </w:t>
      </w:r>
      <w:r>
        <w:rPr>
          <w:position w:val="2"/>
        </w:rPr>
        <w:t>approaches 28%. For LWCCs with E106 FAC, the compressive strength is similar or higher than the reference mortar when the </w:t>
      </w:r>
      <w:r>
        <w:rPr>
          <w:i/>
          <w:position w:val="2"/>
        </w:rPr>
        <w:t>v</w:t>
      </w:r>
      <w:r>
        <w:rPr>
          <w:i/>
          <w:sz w:val="16"/>
        </w:rPr>
        <w:t>f</w:t>
      </w:r>
      <w:r>
        <w:rPr>
          <w:i/>
          <w:spacing w:val="26"/>
          <w:sz w:val="16"/>
        </w:rPr>
        <w:t> </w:t>
      </w:r>
      <w:r>
        <w:rPr>
          <w:position w:val="2"/>
        </w:rPr>
        <w:t>is less than 20-25%. It is also </w:t>
      </w:r>
      <w:r>
        <w:rPr/>
        <w:t>noted that the E200/600 mortars have higher air content, which is likely due to the larger particles size, which made the fresh mortar less flowable during mixing.</w:t>
      </w:r>
    </w:p>
    <w:p>
      <w:pPr>
        <w:pStyle w:val="Heading2"/>
        <w:spacing w:before="214"/>
      </w:pPr>
      <w:r>
        <w:rPr/>
        <w:t>Thermal</w:t>
      </w:r>
      <w:r>
        <w:rPr>
          <w:spacing w:val="-8"/>
        </w:rPr>
        <w:t> </w:t>
      </w:r>
      <w:r>
        <w:rPr>
          <w:spacing w:val="-2"/>
        </w:rPr>
        <w:t>Properties</w:t>
      </w:r>
    </w:p>
    <w:p>
      <w:pPr>
        <w:pStyle w:val="BodyText"/>
        <w:spacing w:before="195"/>
        <w:ind w:right="391" w:firstLine="360"/>
      </w:pPr>
      <w:r>
        <w:rPr/>
        <w:t>In general, the thermal conductivity of LWCC mortar decreases with the increase in LWF </w:t>
      </w:r>
      <w:r>
        <w:rPr>
          <w:position w:val="2"/>
        </w:rPr>
        <w:t>volume fraction</w:t>
      </w:r>
      <w:r>
        <w:rPr>
          <w:spacing w:val="-5"/>
          <w:position w:val="2"/>
        </w:rPr>
        <w:t> </w:t>
      </w:r>
      <w:r>
        <w:rPr>
          <w:i/>
          <w:position w:val="2"/>
        </w:rPr>
        <w:t>v</w:t>
      </w:r>
      <w:r>
        <w:rPr>
          <w:i/>
          <w:sz w:val="16"/>
        </w:rPr>
        <w:t>f</w:t>
      </w:r>
      <w:r>
        <w:rPr>
          <w:position w:val="2"/>
        </w:rPr>
        <w:t>. For</w:t>
      </w:r>
      <w:r>
        <w:rPr>
          <w:spacing w:val="-5"/>
          <w:position w:val="2"/>
        </w:rPr>
        <w:t> </w:t>
      </w:r>
      <w:r>
        <w:rPr>
          <w:position w:val="2"/>
        </w:rPr>
        <w:t>the</w:t>
      </w:r>
      <w:r>
        <w:rPr>
          <w:spacing w:val="-3"/>
          <w:position w:val="2"/>
        </w:rPr>
        <w:t> </w:t>
      </w:r>
      <w:r>
        <w:rPr>
          <w:position w:val="2"/>
        </w:rPr>
        <w:t>control</w:t>
      </w:r>
      <w:r>
        <w:rPr>
          <w:spacing w:val="-7"/>
          <w:position w:val="2"/>
        </w:rPr>
        <w:t> </w:t>
      </w:r>
      <w:r>
        <w:rPr>
          <w:position w:val="2"/>
        </w:rPr>
        <w:t>mortar</w:t>
      </w:r>
      <w:r>
        <w:rPr>
          <w:spacing w:val="-5"/>
          <w:position w:val="2"/>
        </w:rPr>
        <w:t> </w:t>
      </w:r>
      <w:r>
        <w:rPr>
          <w:position w:val="2"/>
        </w:rPr>
        <w:t>samples (without LWF), the</w:t>
      </w:r>
      <w:r>
        <w:rPr>
          <w:spacing w:val="-3"/>
          <w:position w:val="2"/>
        </w:rPr>
        <w:t> </w:t>
      </w:r>
      <w:r>
        <w:rPr>
          <w:position w:val="2"/>
        </w:rPr>
        <w:t>thermal</w:t>
      </w:r>
      <w:r>
        <w:rPr>
          <w:spacing w:val="-7"/>
          <w:position w:val="2"/>
        </w:rPr>
        <w:t> </w:t>
      </w:r>
      <w:r>
        <w:rPr>
          <w:position w:val="2"/>
        </w:rPr>
        <w:t>conductivity</w:t>
      </w:r>
      <w:r>
        <w:rPr>
          <w:spacing w:val="-12"/>
          <w:position w:val="2"/>
        </w:rPr>
        <w:t> </w:t>
      </w:r>
      <w:r>
        <w:rPr>
          <w:position w:val="2"/>
        </w:rPr>
        <w:t>was </w:t>
      </w:r>
      <w:r>
        <w:rPr/>
        <w:t>tested between 2.1-2.2 W/m K. The thermal conductivities of LWCCs are significantly lower than that of normal weight cement mortar and concrete due</w:t>
      </w:r>
      <w:r>
        <w:rPr>
          <w:spacing w:val="-2"/>
        </w:rPr>
        <w:t> </w:t>
      </w:r>
      <w:r>
        <w:rPr/>
        <w:t>to the incorporation of hollow lightweight particulate fillers. It should be mentioned that since the LWFs were used to replace</w:t>
      </w:r>
    </w:p>
    <w:p>
      <w:pPr>
        <w:pStyle w:val="BodyText"/>
        <w:spacing w:after="0"/>
        <w:sectPr>
          <w:pgSz w:w="12240" w:h="15840"/>
          <w:pgMar w:header="720" w:footer="746" w:top="1340" w:bottom="940" w:left="1440" w:right="1080"/>
        </w:sectPr>
      </w:pPr>
    </w:p>
    <w:p>
      <w:pPr>
        <w:pStyle w:val="BodyText"/>
        <w:spacing w:before="80"/>
        <w:ind w:right="391"/>
      </w:pPr>
      <w:r>
        <w:rPr/>
        <mc:AlternateContent>
          <mc:Choice Requires="wps">
            <w:drawing>
              <wp:anchor distT="0" distB="0" distL="0" distR="0" allowOverlap="1" layoutInCell="1" locked="0" behindDoc="0" simplePos="0" relativeHeight="15737856">
                <wp:simplePos x="0" y="0"/>
                <wp:positionH relativeFrom="page">
                  <wp:posOffset>-1637</wp:posOffset>
                </wp:positionH>
                <wp:positionV relativeFrom="page">
                  <wp:posOffset>2272607</wp:posOffset>
                </wp:positionV>
                <wp:extent cx="138430" cy="551370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7856" type="#_x0000_t202" id="docshape23"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the regular fine aggregate by its equivalent volume. The decrease in thermal conductivity is partially</w:t>
      </w:r>
      <w:r>
        <w:rPr>
          <w:spacing w:val="-1"/>
        </w:rPr>
        <w:t> </w:t>
      </w:r>
      <w:r>
        <w:rPr/>
        <w:t>attributed to two factors: (i) the inclusion of low conductivity LWFs in cement paste, and</w:t>
      </w:r>
      <w:r>
        <w:rPr>
          <w:spacing w:val="-3"/>
        </w:rPr>
        <w:t> </w:t>
      </w:r>
      <w:r>
        <w:rPr/>
        <w:t>(ii)</w:t>
      </w:r>
      <w:r>
        <w:rPr>
          <w:spacing w:val="-2"/>
        </w:rPr>
        <w:t> </w:t>
      </w:r>
      <w:r>
        <w:rPr/>
        <w:t>the</w:t>
      </w:r>
      <w:r>
        <w:rPr>
          <w:spacing w:val="-4"/>
        </w:rPr>
        <w:t> </w:t>
      </w:r>
      <w:r>
        <w:rPr/>
        <w:t>decreased</w:t>
      </w:r>
      <w:r>
        <w:rPr>
          <w:spacing w:val="-3"/>
        </w:rPr>
        <w:t> </w:t>
      </w:r>
      <w:r>
        <w:rPr/>
        <w:t>volume fraction</w:t>
      </w:r>
      <w:r>
        <w:rPr>
          <w:spacing w:val="-8"/>
        </w:rPr>
        <w:t> </w:t>
      </w:r>
      <w:r>
        <w:rPr/>
        <w:t>of</w:t>
      </w:r>
      <w:r>
        <w:rPr>
          <w:spacing w:val="-6"/>
        </w:rPr>
        <w:t> </w:t>
      </w:r>
      <w:r>
        <w:rPr/>
        <w:t>normal</w:t>
      </w:r>
      <w:r>
        <w:rPr>
          <w:spacing w:val="-12"/>
        </w:rPr>
        <w:t> </w:t>
      </w:r>
      <w:r>
        <w:rPr/>
        <w:t>weight fine</w:t>
      </w:r>
      <w:r>
        <w:rPr>
          <w:spacing w:val="-4"/>
        </w:rPr>
        <w:t> </w:t>
      </w:r>
      <w:r>
        <w:rPr/>
        <w:t>aggregate</w:t>
      </w:r>
      <w:r>
        <w:rPr>
          <w:spacing w:val="-4"/>
        </w:rPr>
        <w:t> </w:t>
      </w:r>
      <w:r>
        <w:rPr/>
        <w:t>(i.e.,</w:t>
      </w:r>
      <w:r>
        <w:rPr>
          <w:spacing w:val="-1"/>
        </w:rPr>
        <w:t> </w:t>
      </w:r>
      <w:r>
        <w:rPr/>
        <w:t>silica</w:t>
      </w:r>
      <w:r>
        <w:rPr>
          <w:spacing w:val="-4"/>
        </w:rPr>
        <w:t> </w:t>
      </w:r>
      <w:r>
        <w:rPr/>
        <w:t>sand,</w:t>
      </w:r>
      <w:r>
        <w:rPr>
          <w:spacing w:val="-1"/>
        </w:rPr>
        <w:t> </w:t>
      </w:r>
      <w:r>
        <w:rPr/>
        <w:t>which</w:t>
      </w:r>
      <w:r>
        <w:rPr>
          <w:spacing w:val="-3"/>
        </w:rPr>
        <w:t> </w:t>
      </w:r>
      <w:r>
        <w:rPr/>
        <w:t>is primarily quartz, has substantially higher thermal conductivity than cement paste.</w:t>
      </w:r>
    </w:p>
    <w:p>
      <w:pPr>
        <w:pStyle w:val="BodyText"/>
        <w:ind w:right="422" w:firstLine="360"/>
      </w:pPr>
      <w:r>
        <w:rPr/>
        <w:t>It was observed that the thermal conductivity of LWCC is relatively insensitive to the type and size of</w:t>
      </w:r>
      <w:r>
        <w:rPr>
          <w:spacing w:val="-4"/>
        </w:rPr>
        <w:t> </w:t>
      </w:r>
      <w:r>
        <w:rPr/>
        <w:t>LWF used;</w:t>
      </w:r>
      <w:r>
        <w:rPr>
          <w:spacing w:val="-1"/>
        </w:rPr>
        <w:t> </w:t>
      </w:r>
      <w:r>
        <w:rPr/>
        <w:t>rather, it is primarily</w:t>
      </w:r>
      <w:r>
        <w:rPr>
          <w:spacing w:val="-6"/>
        </w:rPr>
        <w:t> </w:t>
      </w:r>
      <w:r>
        <w:rPr/>
        <w:t>dictated by</w:t>
      </w:r>
      <w:r>
        <w:rPr>
          <w:spacing w:val="-6"/>
        </w:rPr>
        <w:t> </w:t>
      </w:r>
      <w:r>
        <w:rPr/>
        <w:t>the LWF volume fraction, see Figure 5. </w:t>
      </w:r>
      <w:r>
        <w:rPr>
          <w:position w:val="2"/>
        </w:rPr>
        <w:t>As the LWF volume fraction </w:t>
      </w:r>
      <w:r>
        <w:rPr>
          <w:i/>
          <w:position w:val="2"/>
        </w:rPr>
        <w:t>v</w:t>
      </w:r>
      <w:r>
        <w:rPr>
          <w:i/>
          <w:sz w:val="16"/>
        </w:rPr>
        <w:t>f</w:t>
      </w:r>
      <w:r>
        <w:rPr>
          <w:i/>
          <w:spacing w:val="36"/>
          <w:sz w:val="16"/>
        </w:rPr>
        <w:t> </w:t>
      </w:r>
      <w:r>
        <w:rPr>
          <w:position w:val="2"/>
        </w:rPr>
        <w:t>increases the equivalent thermal conductivity of LWCC decreases notably, i.e., when </w:t>
      </w:r>
      <w:r>
        <w:rPr>
          <w:i/>
          <w:position w:val="2"/>
        </w:rPr>
        <w:t>v</w:t>
      </w:r>
      <w:r>
        <w:rPr>
          <w:i/>
          <w:sz w:val="16"/>
        </w:rPr>
        <w:t>f</w:t>
      </w:r>
      <w:r>
        <w:rPr>
          <w:i/>
          <w:spacing w:val="29"/>
          <w:sz w:val="16"/>
        </w:rPr>
        <w:t> </w:t>
      </w:r>
      <w:r>
        <w:rPr>
          <w:position w:val="2"/>
        </w:rPr>
        <w:t>= 7%, the thermal conductivity</w:t>
      </w:r>
      <w:r>
        <w:rPr>
          <w:spacing w:val="-1"/>
          <w:position w:val="2"/>
        </w:rPr>
        <w:t> </w:t>
      </w:r>
      <w:r>
        <w:rPr>
          <w:position w:val="2"/>
        </w:rPr>
        <w:t>reduces by about 30%; as </w:t>
      </w:r>
      <w:r>
        <w:rPr>
          <w:i/>
          <w:position w:val="2"/>
        </w:rPr>
        <w:t>v</w:t>
      </w:r>
      <w:r>
        <w:rPr>
          <w:i/>
          <w:sz w:val="16"/>
        </w:rPr>
        <w:t>f</w:t>
      </w:r>
      <w:r>
        <w:rPr>
          <w:i/>
          <w:spacing w:val="40"/>
          <w:sz w:val="16"/>
        </w:rPr>
        <w:t> </w:t>
      </w:r>
      <w:r>
        <w:rPr/>
        <w:t>approaches</w:t>
      </w:r>
      <w:r>
        <w:rPr>
          <w:spacing w:val="-2"/>
        </w:rPr>
        <w:t> </w:t>
      </w:r>
      <w:r>
        <w:rPr/>
        <w:t>28%,</w:t>
      </w:r>
      <w:r>
        <w:rPr>
          <w:spacing w:val="-3"/>
        </w:rPr>
        <w:t> </w:t>
      </w:r>
      <w:r>
        <w:rPr/>
        <w:t>the</w:t>
      </w:r>
      <w:r>
        <w:rPr>
          <w:spacing w:val="-6"/>
        </w:rPr>
        <w:t> </w:t>
      </w:r>
      <w:r>
        <w:rPr/>
        <w:t>thermal</w:t>
      </w:r>
      <w:r>
        <w:rPr>
          <w:spacing w:val="-5"/>
        </w:rPr>
        <w:t> </w:t>
      </w:r>
      <w:r>
        <w:rPr/>
        <w:t>conductivity</w:t>
      </w:r>
      <w:r>
        <w:rPr>
          <w:spacing w:val="-10"/>
        </w:rPr>
        <w:t> </w:t>
      </w:r>
      <w:r>
        <w:rPr/>
        <w:t>of</w:t>
      </w:r>
      <w:r>
        <w:rPr>
          <w:spacing w:val="-8"/>
        </w:rPr>
        <w:t> </w:t>
      </w:r>
      <w:r>
        <w:rPr/>
        <w:t>LWCC</w:t>
      </w:r>
      <w:r>
        <w:rPr>
          <w:spacing w:val="-2"/>
        </w:rPr>
        <w:t> </w:t>
      </w:r>
      <w:r>
        <w:rPr/>
        <w:t>decreases</w:t>
      </w:r>
      <w:r>
        <w:rPr>
          <w:spacing w:val="-2"/>
        </w:rPr>
        <w:t> </w:t>
      </w:r>
      <w:r>
        <w:rPr/>
        <w:t>to 0.65-0.8</w:t>
      </w:r>
      <w:r>
        <w:rPr>
          <w:spacing w:val="-5"/>
        </w:rPr>
        <w:t> </w:t>
      </w:r>
      <w:r>
        <w:rPr/>
        <w:t>W/m</w:t>
      </w:r>
      <w:r>
        <w:rPr>
          <w:spacing w:val="-5"/>
        </w:rPr>
        <w:t> </w:t>
      </w:r>
      <w:r>
        <w:rPr/>
        <w:t>K. For</w:t>
      </w:r>
      <w:r>
        <w:rPr>
          <w:spacing w:val="-3"/>
        </w:rPr>
        <w:t> </w:t>
      </w:r>
      <w:r>
        <w:rPr/>
        <w:t>the</w:t>
      </w:r>
      <w:r>
        <w:rPr>
          <w:spacing w:val="-1"/>
        </w:rPr>
        <w:t> </w:t>
      </w:r>
      <w:r>
        <w:rPr/>
        <w:t>LWF materials studied herein – i.e., HGM and FAC, the particle size and shell</w:t>
      </w:r>
      <w:r>
        <w:rPr>
          <w:spacing w:val="-1"/>
        </w:rPr>
        <w:t> </w:t>
      </w:r>
      <w:r>
        <w:rPr/>
        <w:t>property</w:t>
      </w:r>
      <w:r>
        <w:rPr>
          <w:spacing w:val="-2"/>
        </w:rPr>
        <w:t> </w:t>
      </w:r>
      <w:r>
        <w:rPr/>
        <w:t>have very limited effects on</w:t>
      </w:r>
      <w:r>
        <w:rPr>
          <w:spacing w:val="-2"/>
        </w:rPr>
        <w:t> </w:t>
      </w:r>
      <w:r>
        <w:rPr/>
        <w:t>the thermal</w:t>
      </w:r>
      <w:r>
        <w:rPr>
          <w:spacing w:val="-1"/>
        </w:rPr>
        <w:t> </w:t>
      </w:r>
      <w:r>
        <w:rPr/>
        <w:t>conductivity</w:t>
      </w:r>
      <w:r>
        <w:rPr>
          <w:spacing w:val="-2"/>
        </w:rPr>
        <w:t> </w:t>
      </w:r>
      <w:r>
        <w:rPr/>
        <w:t>of LWCC mortar. LWCC containing larger particles have shown slightly higher thermal conductivity than other groups. This observation is mainly because the convective heat transfer through air enclosed in the cells reduces as the pore size becomes smaller.</w:t>
      </w:r>
    </w:p>
    <w:p>
      <w:pPr>
        <w:pStyle w:val="BodyText"/>
        <w:spacing w:before="5"/>
        <w:rPr>
          <w:sz w:val="15"/>
        </w:rPr>
      </w:pPr>
      <w:r>
        <w:rPr>
          <w:sz w:val="15"/>
        </w:rPr>
        <w:drawing>
          <wp:anchor distT="0" distB="0" distL="0" distR="0" allowOverlap="1" layoutInCell="1" locked="0" behindDoc="1" simplePos="0" relativeHeight="487596544">
            <wp:simplePos x="0" y="0"/>
            <wp:positionH relativeFrom="page">
              <wp:posOffset>1236980</wp:posOffset>
            </wp:positionH>
            <wp:positionV relativeFrom="paragraph">
              <wp:posOffset>128272</wp:posOffset>
            </wp:positionV>
            <wp:extent cx="5296938" cy="2240279"/>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4" cstate="print"/>
                    <a:stretch>
                      <a:fillRect/>
                    </a:stretch>
                  </pic:blipFill>
                  <pic:spPr>
                    <a:xfrm>
                      <a:off x="0" y="0"/>
                      <a:ext cx="5296938" cy="2240279"/>
                    </a:xfrm>
                    <a:prstGeom prst="rect">
                      <a:avLst/>
                    </a:prstGeom>
                  </pic:spPr>
                </pic:pic>
              </a:graphicData>
            </a:graphic>
          </wp:anchor>
        </w:drawing>
      </w:r>
    </w:p>
    <w:p>
      <w:pPr>
        <w:pStyle w:val="Heading2"/>
        <w:spacing w:line="242" w:lineRule="auto" w:before="11"/>
        <w:ind w:left="1153" w:hanging="485"/>
      </w:pPr>
      <w:r>
        <w:rPr/>
        <w:t>Figure</w:t>
      </w:r>
      <w:r>
        <w:rPr>
          <w:spacing w:val="-4"/>
        </w:rPr>
        <w:t> </w:t>
      </w:r>
      <w:r>
        <w:rPr/>
        <w:t>5.</w:t>
      </w:r>
      <w:r>
        <w:rPr>
          <w:spacing w:val="-1"/>
        </w:rPr>
        <w:t> </w:t>
      </w:r>
      <w:r>
        <w:rPr/>
        <w:t>Thermal</w:t>
      </w:r>
      <w:r>
        <w:rPr>
          <w:spacing w:val="-8"/>
        </w:rPr>
        <w:t> </w:t>
      </w:r>
      <w:r>
        <w:rPr/>
        <w:t>conductivity</w:t>
      </w:r>
      <w:r>
        <w:rPr>
          <w:spacing w:val="-3"/>
        </w:rPr>
        <w:t> </w:t>
      </w:r>
      <w:r>
        <w:rPr/>
        <w:t>versus</w:t>
      </w:r>
      <w:r>
        <w:rPr>
          <w:spacing w:val="-5"/>
        </w:rPr>
        <w:t> </w:t>
      </w:r>
      <w:r>
        <w:rPr/>
        <w:t>density</w:t>
      </w:r>
      <w:r>
        <w:rPr>
          <w:spacing w:val="-3"/>
        </w:rPr>
        <w:t> </w:t>
      </w:r>
      <w:r>
        <w:rPr/>
        <w:t>for</w:t>
      </w:r>
      <w:r>
        <w:rPr>
          <w:spacing w:val="-9"/>
        </w:rPr>
        <w:t> </w:t>
      </w:r>
      <w:r>
        <w:rPr/>
        <w:t>(a)</w:t>
      </w:r>
      <w:r>
        <w:rPr>
          <w:spacing w:val="-2"/>
        </w:rPr>
        <w:t> </w:t>
      </w:r>
      <w:r>
        <w:rPr/>
        <w:t>LWCC</w:t>
      </w:r>
      <w:r>
        <w:rPr>
          <w:spacing w:val="-4"/>
        </w:rPr>
        <w:t> </w:t>
      </w:r>
      <w:r>
        <w:rPr/>
        <w:t>with</w:t>
      </w:r>
      <w:r>
        <w:rPr>
          <w:spacing w:val="-7"/>
        </w:rPr>
        <w:t> </w:t>
      </w:r>
      <w:r>
        <w:rPr/>
        <w:t>hollow</w:t>
      </w:r>
      <w:r>
        <w:rPr>
          <w:spacing w:val="-4"/>
        </w:rPr>
        <w:t> </w:t>
      </w:r>
      <w:r>
        <w:rPr/>
        <w:t>glass microspheres (HGM) and (b) LWCC with fly-ash cenespheres FACs.</w:t>
      </w:r>
    </w:p>
    <w:p>
      <w:pPr>
        <w:spacing w:before="196"/>
        <w:ind w:left="0" w:right="0" w:firstLine="0"/>
        <w:jc w:val="left"/>
        <w:rPr>
          <w:b/>
          <w:sz w:val="24"/>
        </w:rPr>
      </w:pPr>
      <w:r>
        <w:rPr>
          <w:b/>
          <w:spacing w:val="-2"/>
          <w:sz w:val="24"/>
        </w:rPr>
        <w:t>Microstructures</w:t>
      </w:r>
    </w:p>
    <w:p>
      <w:pPr>
        <w:pStyle w:val="BodyText"/>
        <w:spacing w:before="194"/>
        <w:ind w:right="403" w:firstLine="360"/>
      </w:pPr>
      <w:r>
        <w:rPr/>
        <w:t>The microstructural characterization was carried out using scanning electron microscopic (SEM)</w:t>
      </w:r>
      <w:r>
        <w:rPr>
          <w:spacing w:val="-3"/>
        </w:rPr>
        <w:t> </w:t>
      </w:r>
      <w:r>
        <w:rPr/>
        <w:t>imaging.</w:t>
      </w:r>
      <w:r>
        <w:rPr>
          <w:spacing w:val="-2"/>
        </w:rPr>
        <w:t> </w:t>
      </w:r>
      <w:r>
        <w:rPr/>
        <w:t>The</w:t>
      </w:r>
      <w:r>
        <w:rPr>
          <w:spacing w:val="-5"/>
        </w:rPr>
        <w:t> </w:t>
      </w:r>
      <w:r>
        <w:rPr/>
        <w:t>LWCC</w:t>
      </w:r>
      <w:r>
        <w:rPr>
          <w:spacing w:val="-1"/>
        </w:rPr>
        <w:t> </w:t>
      </w:r>
      <w:r>
        <w:rPr/>
        <w:t>mortar</w:t>
      </w:r>
      <w:r>
        <w:rPr>
          <w:spacing w:val="-6"/>
        </w:rPr>
        <w:t> </w:t>
      </w:r>
      <w:r>
        <w:rPr/>
        <w:t>samples</w:t>
      </w:r>
      <w:r>
        <w:rPr>
          <w:spacing w:val="-2"/>
        </w:rPr>
        <w:t> </w:t>
      </w:r>
      <w:r>
        <w:rPr/>
        <w:t>for microstructural</w:t>
      </w:r>
      <w:r>
        <w:rPr>
          <w:spacing w:val="-12"/>
        </w:rPr>
        <w:t> </w:t>
      </w:r>
      <w:r>
        <w:rPr/>
        <w:t>analysis</w:t>
      </w:r>
      <w:r>
        <w:rPr>
          <w:spacing w:val="-6"/>
        </w:rPr>
        <w:t> </w:t>
      </w:r>
      <w:r>
        <w:rPr/>
        <w:t>were</w:t>
      </w:r>
      <w:r>
        <w:rPr>
          <w:spacing w:val="-5"/>
        </w:rPr>
        <w:t> </w:t>
      </w:r>
      <w:r>
        <w:rPr/>
        <w:t>resin-impregnated using epoxy, and the resin mounted samples were then ground and polished to 0.3 μm</w:t>
      </w:r>
      <w:r>
        <w:rPr>
          <w:spacing w:val="-2"/>
        </w:rPr>
        <w:t> </w:t>
      </w:r>
      <w:r>
        <w:rPr/>
        <w:t>diamond paste. SEM imaging was conducted using a Hitachi TM1000 at accelerating voltage of 15 kV. For analyzing the fracture surfaces of LWCC, fragments of the tested compression cylinders were preserved and placed on a sample holder for SEM imaging analysis.</w:t>
      </w:r>
    </w:p>
    <w:p>
      <w:pPr>
        <w:pStyle w:val="BodyText"/>
        <w:spacing w:before="1"/>
        <w:ind w:right="422" w:firstLine="360"/>
      </w:pPr>
      <w:r>
        <w:rPr/>
        <w:t>Figure 6 presents the SEM micrographs of four different LWCCs having E 200/600, E160 FACs</w:t>
      </w:r>
      <w:r>
        <w:rPr>
          <w:spacing w:val="-1"/>
        </w:rPr>
        <w:t> </w:t>
      </w:r>
      <w:r>
        <w:rPr/>
        <w:t>and K25, S60 HGMs. The volume fractions</w:t>
      </w:r>
      <w:r>
        <w:rPr>
          <w:spacing w:val="-1"/>
        </w:rPr>
        <w:t> </w:t>
      </w:r>
      <w:r>
        <w:rPr/>
        <w:t>of</w:t>
      </w:r>
      <w:r>
        <w:rPr>
          <w:spacing w:val="-7"/>
        </w:rPr>
        <w:t> </w:t>
      </w:r>
      <w:r>
        <w:rPr/>
        <w:t>LWF for</w:t>
      </w:r>
      <w:r>
        <w:rPr>
          <w:spacing w:val="-2"/>
        </w:rPr>
        <w:t> </w:t>
      </w:r>
      <w:r>
        <w:rPr/>
        <w:t>the four LWCC</w:t>
      </w:r>
      <w:r>
        <w:rPr>
          <w:spacing w:val="-1"/>
        </w:rPr>
        <w:t> </w:t>
      </w:r>
      <w:r>
        <w:rPr/>
        <w:t>groups</w:t>
      </w:r>
      <w:r>
        <w:rPr>
          <w:spacing w:val="-1"/>
        </w:rPr>
        <w:t> </w:t>
      </w:r>
      <w:r>
        <w:rPr/>
        <w:t>presented in</w:t>
      </w:r>
      <w:r>
        <w:rPr>
          <w:spacing w:val="-2"/>
        </w:rPr>
        <w:t> </w:t>
      </w:r>
      <w:r>
        <w:rPr/>
        <w:t>Figure</w:t>
      </w:r>
      <w:r>
        <w:rPr>
          <w:spacing w:val="-3"/>
        </w:rPr>
        <w:t> </w:t>
      </w:r>
      <w:r>
        <w:rPr/>
        <w:t>6</w:t>
      </w:r>
      <w:r>
        <w:rPr>
          <w:spacing w:val="-2"/>
        </w:rPr>
        <w:t> </w:t>
      </w:r>
      <w:r>
        <w:rPr/>
        <w:t>were</w:t>
      </w:r>
      <w:r>
        <w:rPr>
          <w:spacing w:val="-3"/>
        </w:rPr>
        <w:t> </w:t>
      </w:r>
      <w:r>
        <w:rPr/>
        <w:t>nearly</w:t>
      </w:r>
      <w:r>
        <w:rPr>
          <w:spacing w:val="-7"/>
        </w:rPr>
        <w:t> </w:t>
      </w:r>
      <w:r>
        <w:rPr/>
        <w:t>the</w:t>
      </w:r>
      <w:r>
        <w:rPr>
          <w:spacing w:val="-3"/>
        </w:rPr>
        <w:t> </w:t>
      </w:r>
      <w:r>
        <w:rPr/>
        <w:t>same, i.e., approximately</w:t>
      </w:r>
      <w:r>
        <w:rPr>
          <w:spacing w:val="-10"/>
        </w:rPr>
        <w:t> </w:t>
      </w:r>
      <w:r>
        <w:rPr/>
        <w:t>14%</w:t>
      </w:r>
      <w:r>
        <w:rPr>
          <w:spacing w:val="-1"/>
        </w:rPr>
        <w:t> </w:t>
      </w:r>
      <w:r>
        <w:rPr/>
        <w:t>of</w:t>
      </w:r>
      <w:r>
        <w:rPr>
          <w:spacing w:val="-10"/>
        </w:rPr>
        <w:t> </w:t>
      </w:r>
      <w:r>
        <w:rPr/>
        <w:t>the</w:t>
      </w:r>
      <w:r>
        <w:rPr>
          <w:spacing w:val="-3"/>
        </w:rPr>
        <w:t> </w:t>
      </w:r>
      <w:r>
        <w:rPr/>
        <w:t>total</w:t>
      </w:r>
      <w:r>
        <w:rPr>
          <w:spacing w:val="-7"/>
        </w:rPr>
        <w:t> </w:t>
      </w:r>
      <w:r>
        <w:rPr/>
        <w:t>volume. It is noted</w:t>
      </w:r>
      <w:r>
        <w:rPr>
          <w:spacing w:val="-7"/>
        </w:rPr>
        <w:t> </w:t>
      </w:r>
      <w:r>
        <w:rPr/>
        <w:t>that</w:t>
      </w:r>
      <w:r>
        <w:rPr>
          <w:spacing w:val="-6"/>
        </w:rPr>
        <w:t> </w:t>
      </w:r>
      <w:r>
        <w:rPr/>
        <w:t>the E200/600 FAC have similar particle size with silica sand and the cenospheres were scattered across the mortar material, see Figure 6 (a). The shell</w:t>
      </w:r>
      <w:r>
        <w:rPr>
          <w:spacing w:val="-1"/>
        </w:rPr>
        <w:t> </w:t>
      </w:r>
      <w:r>
        <w:rPr/>
        <w:t>thickness of E200/600 FAC is around 15 μm (5-10% of the particle diameter) and the shell has a microporous structure. On</w:t>
      </w:r>
      <w:r>
        <w:rPr>
          <w:spacing w:val="-1"/>
        </w:rPr>
        <w:t> </w:t>
      </w:r>
      <w:r>
        <w:rPr/>
        <w:t>the other hand, the smaller FAC particles (E160) are well distributed within the cementitious binder, see Figure 6 (b). The denser, more compacted, and uniform microstructure in the E160 modified</w:t>
      </w:r>
    </w:p>
    <w:p>
      <w:pPr>
        <w:pStyle w:val="BodyText"/>
        <w:spacing w:after="0"/>
        <w:sectPr>
          <w:pgSz w:w="12240" w:h="15840"/>
          <w:pgMar w:header="720" w:footer="746" w:top="1340" w:bottom="940" w:left="1440" w:right="1080"/>
        </w:sectPr>
      </w:pPr>
    </w:p>
    <w:p>
      <w:pPr>
        <w:pStyle w:val="BodyText"/>
        <w:spacing w:before="80"/>
        <w:ind w:right="391"/>
      </w:pPr>
      <w:r>
        <w:rPr/>
        <mc:AlternateContent>
          <mc:Choice Requires="wps">
            <w:drawing>
              <wp:anchor distT="0" distB="0" distL="0" distR="0" allowOverlap="1" layoutInCell="1" locked="0" behindDoc="0" simplePos="0" relativeHeight="15738880">
                <wp:simplePos x="0" y="0"/>
                <wp:positionH relativeFrom="page">
                  <wp:posOffset>-1637</wp:posOffset>
                </wp:positionH>
                <wp:positionV relativeFrom="page">
                  <wp:posOffset>2272607</wp:posOffset>
                </wp:positionV>
                <wp:extent cx="138430" cy="551370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8880" type="#_x0000_t202" id="docshape24"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LWCC influenced its mechanical strength and other properties of the composites including the post-crack</w:t>
      </w:r>
      <w:r>
        <w:rPr>
          <w:spacing w:val="-3"/>
        </w:rPr>
        <w:t> </w:t>
      </w:r>
      <w:r>
        <w:rPr/>
        <w:t>behavior</w:t>
      </w:r>
      <w:r>
        <w:rPr>
          <w:spacing w:val="-2"/>
        </w:rPr>
        <w:t> </w:t>
      </w:r>
      <w:r>
        <w:rPr/>
        <w:t>(Hanif</w:t>
      </w:r>
      <w:r>
        <w:rPr>
          <w:spacing w:val="-10"/>
        </w:rPr>
        <w:t> </w:t>
      </w:r>
      <w:r>
        <w:rPr/>
        <w:t>et al.</w:t>
      </w:r>
      <w:r>
        <w:rPr>
          <w:spacing w:val="-1"/>
        </w:rPr>
        <w:t> </w:t>
      </w:r>
      <w:r>
        <w:rPr/>
        <w:t>2017).</w:t>
      </w:r>
      <w:r>
        <w:rPr>
          <w:spacing w:val="-6"/>
        </w:rPr>
        <w:t> </w:t>
      </w:r>
      <w:r>
        <w:rPr/>
        <w:t>It</w:t>
      </w:r>
      <w:r>
        <w:rPr>
          <w:spacing w:val="-3"/>
        </w:rPr>
        <w:t> </w:t>
      </w:r>
      <w:r>
        <w:rPr/>
        <w:t>was</w:t>
      </w:r>
      <w:r>
        <w:rPr>
          <w:spacing w:val="-5"/>
        </w:rPr>
        <w:t> </w:t>
      </w:r>
      <w:r>
        <w:rPr/>
        <w:t>also</w:t>
      </w:r>
      <w:r>
        <w:rPr>
          <w:spacing w:val="-3"/>
        </w:rPr>
        <w:t> </w:t>
      </w:r>
      <w:r>
        <w:rPr/>
        <w:t>observed in</w:t>
      </w:r>
      <w:r>
        <w:rPr>
          <w:spacing w:val="-8"/>
        </w:rPr>
        <w:t> </w:t>
      </w:r>
      <w:r>
        <w:rPr/>
        <w:t>the</w:t>
      </w:r>
      <w:r>
        <w:rPr>
          <w:spacing w:val="-4"/>
        </w:rPr>
        <w:t> </w:t>
      </w:r>
      <w:r>
        <w:rPr/>
        <w:t>experiments</w:t>
      </w:r>
      <w:r>
        <w:rPr>
          <w:spacing w:val="-5"/>
        </w:rPr>
        <w:t> </w:t>
      </w:r>
      <w:r>
        <w:rPr/>
        <w:t>that</w:t>
      </w:r>
      <w:r>
        <w:rPr>
          <w:spacing w:val="-3"/>
        </w:rPr>
        <w:t> </w:t>
      </w:r>
      <w:r>
        <w:rPr/>
        <w:t>the</w:t>
      </w:r>
      <w:r>
        <w:rPr>
          <w:spacing w:val="-4"/>
        </w:rPr>
        <w:t> </w:t>
      </w:r>
      <w:r>
        <w:rPr/>
        <w:t>spherical shape</w:t>
      </w:r>
      <w:r>
        <w:rPr>
          <w:spacing w:val="-2"/>
        </w:rPr>
        <w:t> </w:t>
      </w:r>
      <w:r>
        <w:rPr/>
        <w:t>and</w:t>
      </w:r>
      <w:r>
        <w:rPr>
          <w:spacing w:val="-1"/>
        </w:rPr>
        <w:t> </w:t>
      </w:r>
      <w:r>
        <w:rPr/>
        <w:t>smooth</w:t>
      </w:r>
      <w:r>
        <w:rPr>
          <w:spacing w:val="-6"/>
        </w:rPr>
        <w:t> </w:t>
      </w:r>
      <w:r>
        <w:rPr/>
        <w:t>surface</w:t>
      </w:r>
      <w:r>
        <w:rPr>
          <w:spacing w:val="-2"/>
        </w:rPr>
        <w:t> </w:t>
      </w:r>
      <w:r>
        <w:rPr/>
        <w:t>of</w:t>
      </w:r>
      <w:r>
        <w:rPr>
          <w:spacing w:val="-9"/>
        </w:rPr>
        <w:t> </w:t>
      </w:r>
      <w:r>
        <w:rPr/>
        <w:t>E106</w:t>
      </w:r>
      <w:r>
        <w:rPr>
          <w:spacing w:val="-1"/>
        </w:rPr>
        <w:t> </w:t>
      </w:r>
      <w:r>
        <w:rPr/>
        <w:t>and</w:t>
      </w:r>
      <w:r>
        <w:rPr>
          <w:spacing w:val="-1"/>
        </w:rPr>
        <w:t> </w:t>
      </w:r>
      <w:r>
        <w:rPr/>
        <w:t>E160</w:t>
      </w:r>
      <w:r>
        <w:rPr>
          <w:spacing w:val="-1"/>
        </w:rPr>
        <w:t> </w:t>
      </w:r>
      <w:r>
        <w:rPr/>
        <w:t>FAC</w:t>
      </w:r>
      <w:r>
        <w:rPr>
          <w:spacing w:val="-3"/>
        </w:rPr>
        <w:t> </w:t>
      </w:r>
      <w:r>
        <w:rPr/>
        <w:t>improved</w:t>
      </w:r>
      <w:r>
        <w:rPr>
          <w:spacing w:val="-1"/>
        </w:rPr>
        <w:t> </w:t>
      </w:r>
      <w:r>
        <w:rPr/>
        <w:t>the</w:t>
      </w:r>
      <w:r>
        <w:rPr>
          <w:spacing w:val="-2"/>
        </w:rPr>
        <w:t> </w:t>
      </w:r>
      <w:r>
        <w:rPr/>
        <w:t>rheological</w:t>
      </w:r>
      <w:r>
        <w:rPr>
          <w:spacing w:val="-6"/>
        </w:rPr>
        <w:t> </w:t>
      </w:r>
      <w:r>
        <w:rPr/>
        <w:t>behavior of</w:t>
      </w:r>
      <w:r>
        <w:rPr>
          <w:spacing w:val="-9"/>
        </w:rPr>
        <w:t> </w:t>
      </w:r>
      <w:r>
        <w:rPr/>
        <w:t>the fresh mortar mix and reduced the air content. The improved rheological behavior is critical for extrusion based construction technique such as the 3-D printing process shown in Figure 1. The K25 and S60 HGMs have similar particle size as the E160 FAC and they</w:t>
      </w:r>
      <w:r>
        <w:rPr>
          <w:spacing w:val="-1"/>
        </w:rPr>
        <w:t> </w:t>
      </w:r>
      <w:r>
        <w:rPr/>
        <w:t>were both well distributed within the cementitious binder. While the low density K25 particles have greater particle size and thinner shell</w:t>
      </w:r>
      <w:r>
        <w:rPr>
          <w:spacing w:val="-2"/>
        </w:rPr>
        <w:t> </w:t>
      </w:r>
      <w:r>
        <w:rPr/>
        <w:t>wall than S60. It is evident that most of</w:t>
      </w:r>
      <w:r>
        <w:rPr>
          <w:spacing w:val="-1"/>
        </w:rPr>
        <w:t> </w:t>
      </w:r>
      <w:r>
        <w:rPr/>
        <w:t>the K25 and S60 HGM particles survived the mortar mixing process and breakage of LWF particles during concrete mixing are minimal.</w:t>
      </w:r>
    </w:p>
    <w:p>
      <w:pPr>
        <w:pStyle w:val="BodyText"/>
        <w:spacing w:before="11"/>
        <w:rPr>
          <w:sz w:val="15"/>
        </w:rPr>
      </w:pPr>
      <w:r>
        <w:rPr>
          <w:sz w:val="15"/>
        </w:rPr>
        <w:drawing>
          <wp:anchor distT="0" distB="0" distL="0" distR="0" allowOverlap="1" layoutInCell="1" locked="0" behindDoc="1" simplePos="0" relativeHeight="487597568">
            <wp:simplePos x="0" y="0"/>
            <wp:positionH relativeFrom="page">
              <wp:posOffset>1739264</wp:posOffset>
            </wp:positionH>
            <wp:positionV relativeFrom="paragraph">
              <wp:posOffset>131763</wp:posOffset>
            </wp:positionV>
            <wp:extent cx="4328061" cy="3134868"/>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5" cstate="print"/>
                    <a:stretch>
                      <a:fillRect/>
                    </a:stretch>
                  </pic:blipFill>
                  <pic:spPr>
                    <a:xfrm>
                      <a:off x="0" y="0"/>
                      <a:ext cx="4328061" cy="3134868"/>
                    </a:xfrm>
                    <a:prstGeom prst="rect">
                      <a:avLst/>
                    </a:prstGeom>
                  </pic:spPr>
                </pic:pic>
              </a:graphicData>
            </a:graphic>
          </wp:anchor>
        </w:drawing>
      </w:r>
    </w:p>
    <w:p>
      <w:pPr>
        <w:pStyle w:val="Heading2"/>
        <w:ind w:left="10"/>
      </w:pPr>
      <w:r>
        <w:rPr/>
        <w:t>Figure</w:t>
      </w:r>
      <w:r>
        <w:rPr>
          <w:spacing w:val="-2"/>
        </w:rPr>
        <w:t> </w:t>
      </w:r>
      <w:r>
        <w:rPr/>
        <w:t>6.</w:t>
      </w:r>
      <w:r>
        <w:rPr>
          <w:spacing w:val="1"/>
        </w:rPr>
        <w:t> </w:t>
      </w:r>
      <w:r>
        <w:rPr/>
        <w:t>SEM</w:t>
      </w:r>
      <w:r>
        <w:rPr>
          <w:spacing w:val="2"/>
        </w:rPr>
        <w:t> </w:t>
      </w:r>
      <w:r>
        <w:rPr/>
        <w:t>images</w:t>
      </w:r>
      <w:r>
        <w:rPr>
          <w:spacing w:val="-2"/>
        </w:rPr>
        <w:t> </w:t>
      </w:r>
      <w:r>
        <w:rPr/>
        <w:t>showing</w:t>
      </w:r>
      <w:r>
        <w:rPr>
          <w:spacing w:val="-1"/>
        </w:rPr>
        <w:t> </w:t>
      </w:r>
      <w:r>
        <w:rPr/>
        <w:t>the</w:t>
      </w:r>
      <w:r>
        <w:rPr>
          <w:spacing w:val="-7"/>
        </w:rPr>
        <w:t> </w:t>
      </w:r>
      <w:r>
        <w:rPr/>
        <w:t>microstructure</w:t>
      </w:r>
      <w:r>
        <w:rPr>
          <w:spacing w:val="-1"/>
        </w:rPr>
        <w:t> </w:t>
      </w:r>
      <w:r>
        <w:rPr/>
        <w:t>of</w:t>
      </w:r>
      <w:r>
        <w:rPr>
          <w:spacing w:val="-4"/>
        </w:rPr>
        <w:t> </w:t>
      </w:r>
      <w:r>
        <w:rPr/>
        <w:t>LWCC</w:t>
      </w:r>
      <w:r>
        <w:rPr>
          <w:spacing w:val="-1"/>
        </w:rPr>
        <w:t> </w:t>
      </w:r>
      <w:r>
        <w:rPr/>
        <w:t>containing</w:t>
      </w:r>
      <w:r>
        <w:rPr>
          <w:spacing w:val="-1"/>
        </w:rPr>
        <w:t> </w:t>
      </w:r>
      <w:r>
        <w:rPr/>
        <w:t>(a)</w:t>
      </w:r>
      <w:r>
        <w:rPr>
          <w:spacing w:val="-4"/>
        </w:rPr>
        <w:t> </w:t>
      </w:r>
      <w:r>
        <w:rPr/>
        <w:t>E200/600 </w:t>
      </w:r>
      <w:r>
        <w:rPr>
          <w:spacing w:val="-4"/>
        </w:rPr>
        <w:t>FAC;</w:t>
      </w:r>
    </w:p>
    <w:p>
      <w:pPr>
        <w:spacing w:line="412" w:lineRule="auto" w:before="0"/>
        <w:ind w:left="0" w:right="1370" w:firstLine="2170"/>
        <w:jc w:val="left"/>
        <w:rPr>
          <w:b/>
          <w:sz w:val="24"/>
        </w:rPr>
      </w:pPr>
      <w:r>
        <w:rPr>
          <w:b/>
          <w:sz w:val="24"/>
        </w:rPr>
        <w:t>(b) E160 FAC; (c) K25 HGM; and (d) S60 HGM. DYNAMIC</w:t>
      </w:r>
      <w:r>
        <w:rPr>
          <w:b/>
          <w:spacing w:val="-5"/>
          <w:sz w:val="24"/>
        </w:rPr>
        <w:t> </w:t>
      </w:r>
      <w:r>
        <w:rPr>
          <w:b/>
          <w:sz w:val="24"/>
        </w:rPr>
        <w:t>TESTING</w:t>
      </w:r>
      <w:r>
        <w:rPr>
          <w:b/>
          <w:spacing w:val="-4"/>
          <w:sz w:val="24"/>
        </w:rPr>
        <w:t> </w:t>
      </w:r>
      <w:r>
        <w:rPr>
          <w:b/>
          <w:sz w:val="24"/>
        </w:rPr>
        <w:t>USING</w:t>
      </w:r>
      <w:r>
        <w:rPr>
          <w:b/>
          <w:spacing w:val="-4"/>
          <w:sz w:val="24"/>
        </w:rPr>
        <w:t> </w:t>
      </w:r>
      <w:r>
        <w:rPr>
          <w:b/>
          <w:sz w:val="24"/>
        </w:rPr>
        <w:t>SPLIT</w:t>
      </w:r>
      <w:r>
        <w:rPr>
          <w:b/>
          <w:spacing w:val="-6"/>
          <w:sz w:val="24"/>
        </w:rPr>
        <w:t> </w:t>
      </w:r>
      <w:r>
        <w:rPr>
          <w:b/>
          <w:sz w:val="24"/>
        </w:rPr>
        <w:t>PRESSURE</w:t>
      </w:r>
      <w:r>
        <w:rPr>
          <w:b/>
          <w:spacing w:val="-6"/>
          <w:sz w:val="24"/>
        </w:rPr>
        <w:t> </w:t>
      </w:r>
      <w:r>
        <w:rPr>
          <w:b/>
          <w:sz w:val="24"/>
        </w:rPr>
        <w:t>HOPKINSON</w:t>
      </w:r>
      <w:r>
        <w:rPr>
          <w:b/>
          <w:spacing w:val="-9"/>
          <w:sz w:val="24"/>
        </w:rPr>
        <w:t> </w:t>
      </w:r>
      <w:r>
        <w:rPr>
          <w:b/>
          <w:sz w:val="24"/>
        </w:rPr>
        <w:t>BAR</w:t>
      </w:r>
    </w:p>
    <w:p>
      <w:pPr>
        <w:pStyle w:val="BodyText"/>
        <w:ind w:right="365" w:firstLine="360"/>
      </w:pPr>
      <w:r>
        <w:rPr/>
        <w:t>To obtain the dynamic behavior of LWCC under high strain rate, a set of impact dynamic tests</w:t>
      </w:r>
      <w:r>
        <w:rPr>
          <w:spacing w:val="-3"/>
        </w:rPr>
        <w:t> </w:t>
      </w:r>
      <w:r>
        <w:rPr/>
        <w:t>were</w:t>
      </w:r>
      <w:r>
        <w:rPr>
          <w:spacing w:val="-2"/>
        </w:rPr>
        <w:t> </w:t>
      </w:r>
      <w:r>
        <w:rPr/>
        <w:t>performed</w:t>
      </w:r>
      <w:r>
        <w:rPr>
          <w:spacing w:val="-1"/>
        </w:rPr>
        <w:t> </w:t>
      </w:r>
      <w:r>
        <w:rPr/>
        <w:t>using</w:t>
      </w:r>
      <w:r>
        <w:rPr>
          <w:spacing w:val="-1"/>
        </w:rPr>
        <w:t> </w:t>
      </w:r>
      <w:r>
        <w:rPr/>
        <w:t>Split Hopkinson</w:t>
      </w:r>
      <w:r>
        <w:rPr>
          <w:spacing w:val="-6"/>
        </w:rPr>
        <w:t> </w:t>
      </w:r>
      <w:r>
        <w:rPr/>
        <w:t>Pressure</w:t>
      </w:r>
      <w:r>
        <w:rPr>
          <w:spacing w:val="-2"/>
        </w:rPr>
        <w:t> </w:t>
      </w:r>
      <w:r>
        <w:rPr/>
        <w:t>Bar (SHPB).</w:t>
      </w:r>
      <w:r>
        <w:rPr>
          <w:spacing w:val="-4"/>
        </w:rPr>
        <w:t> </w:t>
      </w:r>
      <w:r>
        <w:rPr/>
        <w:t>Figure</w:t>
      </w:r>
      <w:r>
        <w:rPr>
          <w:spacing w:val="-2"/>
        </w:rPr>
        <w:t> </w:t>
      </w:r>
      <w:r>
        <w:rPr/>
        <w:t>7</w:t>
      </w:r>
      <w:r>
        <w:rPr>
          <w:spacing w:val="-1"/>
        </w:rPr>
        <w:t> </w:t>
      </w:r>
      <w:r>
        <w:rPr/>
        <w:t>presents</w:t>
      </w:r>
      <w:r>
        <w:rPr>
          <w:spacing w:val="-3"/>
        </w:rPr>
        <w:t> </w:t>
      </w:r>
      <w:r>
        <w:rPr/>
        <w:t>the</w:t>
      </w:r>
      <w:r>
        <w:rPr>
          <w:spacing w:val="-2"/>
        </w:rPr>
        <w:t> </w:t>
      </w:r>
      <w:r>
        <w:rPr/>
        <w:t>set-up</w:t>
      </w:r>
      <w:r>
        <w:rPr>
          <w:spacing w:val="-11"/>
        </w:rPr>
        <w:t> </w:t>
      </w:r>
      <w:r>
        <w:rPr/>
        <w:t>of the apparatus that has been used for testing the LWCC samples containing 42% vol. FAC. The SHPB test system</w:t>
      </w:r>
      <w:r>
        <w:rPr>
          <w:spacing w:val="-2"/>
        </w:rPr>
        <w:t> </w:t>
      </w:r>
      <w:r>
        <w:rPr/>
        <w:t>consisted of</w:t>
      </w:r>
      <w:r>
        <w:rPr>
          <w:spacing w:val="-1"/>
        </w:rPr>
        <w:t> </w:t>
      </w:r>
      <w:r>
        <w:rPr/>
        <w:t>a striker propelled by a gas gun, an input bar, an output bar, a shock absorber and a data acquisition system where the strain readings are obtained from two strain sensors. The bar diameter of</w:t>
      </w:r>
      <w:r>
        <w:rPr>
          <w:spacing w:val="-4"/>
        </w:rPr>
        <w:t> </w:t>
      </w:r>
      <w:r>
        <w:rPr/>
        <w:t>SHPB used in this study has ¾-inch (about 20 mm) diameter. The pressure in the gas gun and the striker size determine the projectile speed. The specimen is placed between the input and output bars. The impact of</w:t>
      </w:r>
      <w:r>
        <w:rPr>
          <w:spacing w:val="-3"/>
        </w:rPr>
        <w:t> </w:t>
      </w:r>
      <w:r>
        <w:rPr/>
        <w:t>a striker at the free end of</w:t>
      </w:r>
      <w:r>
        <w:rPr>
          <w:spacing w:val="-3"/>
        </w:rPr>
        <w:t> </w:t>
      </w:r>
      <w:r>
        <w:rPr/>
        <w:t>the input bar will impose a compressive longitudinal incident stress wave which travels along the bar. After</w:t>
      </w:r>
      <w:r>
        <w:rPr/>
        <w:t> the stress wave reaches the specimen-bar interface, the differences in mechanical impedance between the specimen and pressure bar (different material) causes the incident wave to partially reflected back into the input bar while the rest of</w:t>
      </w:r>
      <w:r>
        <w:rPr>
          <w:spacing w:val="-2"/>
        </w:rPr>
        <w:t> </w:t>
      </w:r>
      <w:r>
        <w:rPr/>
        <w:t>the wave is transmitted into the sample and output bar. The incident, reflected and transmitted pulse in the pressure bar are recorded by</w:t>
      </w:r>
      <w:r>
        <w:rPr>
          <w:spacing w:val="-2"/>
        </w:rPr>
        <w:t> </w:t>
      </w:r>
      <w:r>
        <w:rPr/>
        <w:t>the strain</w:t>
      </w:r>
      <w:r>
        <w:rPr>
          <w:spacing w:val="-3"/>
        </w:rPr>
        <w:t> </w:t>
      </w:r>
      <w:r>
        <w:rPr/>
        <w:t>gauges attached to</w:t>
      </w:r>
      <w:r>
        <w:rPr>
          <w:spacing w:val="-2"/>
        </w:rPr>
        <w:t> </w:t>
      </w:r>
      <w:r>
        <w:rPr/>
        <w:t>the input and output bar surface, respectively</w:t>
      </w:r>
      <w:r>
        <w:rPr>
          <w:spacing w:val="-3"/>
        </w:rPr>
        <w:t> </w:t>
      </w:r>
      <w:r>
        <w:rPr/>
        <w:t>(see Figure 7). According</w:t>
      </w:r>
    </w:p>
    <w:p>
      <w:pPr>
        <w:pStyle w:val="BodyText"/>
        <w:spacing w:after="0"/>
        <w:sectPr>
          <w:pgSz w:w="12240" w:h="15840"/>
          <w:pgMar w:header="720" w:footer="746" w:top="1340" w:bottom="940" w:left="1440" w:right="1080"/>
        </w:sectPr>
      </w:pPr>
    </w:p>
    <w:p>
      <w:pPr>
        <w:pStyle w:val="BodyText"/>
        <w:spacing w:line="237" w:lineRule="auto" w:before="82"/>
        <w:ind w:right="391"/>
      </w:pPr>
      <w:r>
        <w:rPr/>
        <w:t>to</w:t>
      </w:r>
      <w:r>
        <w:rPr>
          <w:spacing w:val="-5"/>
        </w:rPr>
        <w:t> </w:t>
      </w:r>
      <w:r>
        <w:rPr/>
        <w:t>one-dimensional</w:t>
      </w:r>
      <w:r>
        <w:rPr>
          <w:spacing w:val="-10"/>
        </w:rPr>
        <w:t> </w:t>
      </w:r>
      <w:r>
        <w:rPr/>
        <w:t>elastic</w:t>
      </w:r>
      <w:r>
        <w:rPr>
          <w:spacing w:val="-2"/>
        </w:rPr>
        <w:t> </w:t>
      </w:r>
      <w:r>
        <w:rPr/>
        <w:t>wave</w:t>
      </w:r>
      <w:r>
        <w:rPr>
          <w:spacing w:val="-2"/>
        </w:rPr>
        <w:t> </w:t>
      </w:r>
      <w:r>
        <w:rPr/>
        <w:t>propagation</w:t>
      </w:r>
      <w:r>
        <w:rPr>
          <w:spacing w:val="-6"/>
        </w:rPr>
        <w:t> </w:t>
      </w:r>
      <w:r>
        <w:rPr/>
        <w:t>theory, the</w:t>
      </w:r>
      <w:r>
        <w:rPr>
          <w:spacing w:val="-2"/>
        </w:rPr>
        <w:t> </w:t>
      </w:r>
      <w:r>
        <w:rPr/>
        <w:t>stress, strain</w:t>
      </w:r>
      <w:r>
        <w:rPr>
          <w:spacing w:val="-6"/>
        </w:rPr>
        <w:t> </w:t>
      </w:r>
      <w:r>
        <w:rPr/>
        <w:t>and</w:t>
      </w:r>
      <w:r>
        <w:rPr>
          <w:spacing w:val="-1"/>
        </w:rPr>
        <w:t> </w:t>
      </w:r>
      <w:r>
        <w:rPr/>
        <w:t>strain</w:t>
      </w:r>
      <w:r>
        <w:rPr>
          <w:spacing w:val="-6"/>
        </w:rPr>
        <w:t> </w:t>
      </w:r>
      <w:r>
        <w:rPr/>
        <w:t>rate</w:t>
      </w:r>
      <w:r>
        <w:rPr>
          <w:spacing w:val="-7"/>
        </w:rPr>
        <w:t> </w:t>
      </w:r>
      <w:r>
        <w:rPr/>
        <w:t>of</w:t>
      </w:r>
      <w:r>
        <w:rPr>
          <w:spacing w:val="-9"/>
        </w:rPr>
        <w:t> </w:t>
      </w:r>
      <w:r>
        <w:rPr/>
        <w:t>the specimen can be calculated as:</w:t>
      </w:r>
    </w:p>
    <w:p>
      <w:pPr>
        <w:pStyle w:val="BodyText"/>
        <w:spacing w:after="0" w:line="237" w:lineRule="auto"/>
        <w:sectPr>
          <w:pgSz w:w="12240" w:h="15840"/>
          <w:pgMar w:header="720" w:footer="746" w:top="1340" w:bottom="940" w:left="1440" w:right="1080"/>
        </w:sectPr>
      </w:pPr>
    </w:p>
    <w:p>
      <w:pPr>
        <w:pStyle w:val="BodyText"/>
      </w:pPr>
    </w:p>
    <w:p>
      <w:pPr>
        <w:pStyle w:val="BodyText"/>
        <w:spacing w:before="66"/>
      </w:pPr>
    </w:p>
    <w:p>
      <w:pPr>
        <w:pStyle w:val="BodyText"/>
        <w:spacing w:line="273" w:lineRule="exact"/>
      </w:pPr>
      <w:r>
        <w:rPr>
          <w:spacing w:val="-8"/>
        </w:rPr>
        <w:t>and</w:t>
      </w:r>
    </w:p>
    <w:p>
      <w:pPr>
        <w:spacing w:before="118"/>
        <w:ind w:left="0" w:right="0" w:firstLine="0"/>
        <w:jc w:val="left"/>
        <w:rPr>
          <w:i/>
          <w:position w:val="-5"/>
          <w:sz w:val="13"/>
        </w:rPr>
      </w:pPr>
      <w:r>
        <w:rPr/>
        <w:br w:type="column"/>
      </w:r>
      <w:r>
        <w:rPr>
          <w:rFonts w:ascii="Symbol" w:hAnsi="Symbol"/>
          <w:w w:val="105"/>
          <w:sz w:val="25"/>
        </w:rPr>
        <w:t></w:t>
      </w:r>
      <w:r>
        <w:rPr>
          <w:spacing w:val="-11"/>
          <w:w w:val="105"/>
          <w:sz w:val="25"/>
        </w:rPr>
        <w:t> </w:t>
      </w:r>
      <w:r>
        <w:rPr>
          <w:rFonts w:ascii="Symbol" w:hAnsi="Symbol"/>
          <w:w w:val="105"/>
          <w:position w:val="3"/>
          <w:sz w:val="24"/>
        </w:rPr>
        <w:t></w:t>
      </w:r>
      <w:r>
        <w:rPr>
          <w:i/>
          <w:w w:val="105"/>
          <w:sz w:val="23"/>
        </w:rPr>
        <w:t>t</w:t>
      </w:r>
      <w:r>
        <w:rPr>
          <w:i/>
          <w:spacing w:val="-34"/>
          <w:w w:val="105"/>
          <w:sz w:val="23"/>
        </w:rPr>
        <w:t> </w:t>
      </w:r>
      <w:r>
        <w:rPr>
          <w:rFonts w:ascii="Symbol" w:hAnsi="Symbol"/>
          <w:w w:val="105"/>
          <w:position w:val="3"/>
          <w:sz w:val="24"/>
        </w:rPr>
        <w:t></w:t>
      </w:r>
      <w:r>
        <w:rPr>
          <w:spacing w:val="-15"/>
          <w:w w:val="105"/>
          <w:position w:val="3"/>
          <w:sz w:val="24"/>
        </w:rPr>
        <w:t> </w:t>
      </w:r>
      <w:r>
        <w:rPr>
          <w:rFonts w:ascii="Symbol" w:hAnsi="Symbol"/>
          <w:w w:val="105"/>
          <w:sz w:val="23"/>
        </w:rPr>
        <w:t></w:t>
      </w:r>
      <w:r>
        <w:rPr>
          <w:spacing w:val="-2"/>
          <w:w w:val="105"/>
          <w:sz w:val="23"/>
        </w:rPr>
        <w:t> </w:t>
      </w:r>
      <w:r>
        <w:rPr>
          <w:i/>
          <w:spacing w:val="-5"/>
          <w:w w:val="105"/>
          <w:sz w:val="23"/>
        </w:rPr>
        <w:t>E</w:t>
      </w:r>
      <w:r>
        <w:rPr>
          <w:i/>
          <w:spacing w:val="-5"/>
          <w:w w:val="105"/>
          <w:position w:val="-5"/>
          <w:sz w:val="13"/>
        </w:rPr>
        <w:t>b</w:t>
      </w:r>
    </w:p>
    <w:p>
      <w:pPr>
        <w:spacing w:line="172" w:lineRule="auto" w:before="50"/>
        <w:ind w:left="0" w:right="0" w:firstLine="0"/>
        <w:jc w:val="left"/>
        <w:rPr>
          <w:rFonts w:ascii="Symbol" w:hAnsi="Symbol"/>
          <w:position w:val="-14"/>
          <w:sz w:val="25"/>
        </w:rPr>
      </w:pPr>
      <w:r>
        <w:rPr/>
        <w:br w:type="column"/>
      </w:r>
      <w:r>
        <w:rPr>
          <w:i/>
          <w:spacing w:val="-2"/>
          <w:w w:val="105"/>
          <w:sz w:val="23"/>
        </w:rPr>
        <w:t>A</w:t>
      </w:r>
      <w:r>
        <w:rPr>
          <w:i/>
          <w:spacing w:val="-2"/>
          <w:w w:val="105"/>
          <w:position w:val="-5"/>
          <w:sz w:val="13"/>
        </w:rPr>
        <w:t>b</w:t>
      </w:r>
      <w:r>
        <w:rPr>
          <w:i/>
          <w:spacing w:val="11"/>
          <w:w w:val="105"/>
          <w:position w:val="-5"/>
          <w:sz w:val="13"/>
        </w:rPr>
        <w:t> </w:t>
      </w:r>
      <w:r>
        <w:rPr>
          <w:rFonts w:ascii="Symbol" w:hAnsi="Symbol"/>
          <w:spacing w:val="-10"/>
          <w:w w:val="105"/>
          <w:position w:val="-14"/>
          <w:sz w:val="25"/>
        </w:rPr>
        <w:t></w:t>
      </w:r>
    </w:p>
    <w:p>
      <w:pPr>
        <w:spacing w:line="69" w:lineRule="auto" w:before="9"/>
        <w:ind w:left="40" w:right="0" w:firstLine="0"/>
        <w:jc w:val="left"/>
        <w:rPr>
          <w:i/>
          <w:sz w:val="13"/>
        </w:rPr>
      </w:pPr>
      <w:r>
        <w:rPr>
          <w:i/>
          <w:sz w:val="13"/>
        </w:rPr>
        <mc:AlternateContent>
          <mc:Choice Requires="wps">
            <w:drawing>
              <wp:anchor distT="0" distB="0" distL="0" distR="0" allowOverlap="1" layoutInCell="1" locked="0" behindDoc="1" simplePos="0" relativeHeight="487016448">
                <wp:simplePos x="0" y="0"/>
                <wp:positionH relativeFrom="page">
                  <wp:posOffset>3939001</wp:posOffset>
                </wp:positionH>
                <wp:positionV relativeFrom="paragraph">
                  <wp:posOffset>-35850</wp:posOffset>
                </wp:positionV>
                <wp:extent cx="16764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67640" cy="1270"/>
                        </a:xfrm>
                        <a:custGeom>
                          <a:avLst/>
                          <a:gdLst/>
                          <a:ahLst/>
                          <a:cxnLst/>
                          <a:rect l="l" t="t" r="r" b="b"/>
                          <a:pathLst>
                            <a:path w="167640" h="0">
                              <a:moveTo>
                                <a:pt x="0" y="0"/>
                              </a:moveTo>
                              <a:lnTo>
                                <a:pt x="167291" y="0"/>
                              </a:lnTo>
                            </a:path>
                          </a:pathLst>
                        </a:custGeom>
                        <a:ln w="73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0032" from="310.157562pt,-2.822893pt" to="323.330146pt,-2.822893pt" stroked="true" strokeweight=".575339pt" strokecolor="#000000">
                <v:stroke dashstyle="solid"/>
                <w10:wrap type="none"/>
              </v:line>
            </w:pict>
          </mc:Fallback>
        </mc:AlternateContent>
      </w:r>
      <w:r>
        <w:rPr>
          <w:i/>
          <w:w w:val="110"/>
          <w:position w:val="-11"/>
          <w:sz w:val="23"/>
        </w:rPr>
        <w:t>A</w:t>
      </w:r>
      <w:r>
        <w:rPr>
          <w:i/>
          <w:spacing w:val="117"/>
          <w:w w:val="110"/>
          <w:position w:val="-11"/>
          <w:sz w:val="23"/>
        </w:rPr>
        <w:t> </w:t>
      </w:r>
      <w:r>
        <w:rPr>
          <w:i/>
          <w:spacing w:val="-10"/>
          <w:w w:val="110"/>
          <w:sz w:val="13"/>
        </w:rPr>
        <w:t>T</w:t>
      </w:r>
    </w:p>
    <w:p>
      <w:pPr>
        <w:spacing w:before="119"/>
        <w:ind w:left="0" w:right="0" w:firstLine="0"/>
        <w:jc w:val="left"/>
        <w:rPr>
          <w:rFonts w:ascii="Symbol" w:hAnsi="Symbol"/>
          <w:sz w:val="24"/>
        </w:rPr>
      </w:pPr>
      <w:r>
        <w:rPr/>
        <w:br w:type="column"/>
      </w:r>
      <w:r>
        <w:rPr>
          <w:rFonts w:ascii="Symbol" w:hAnsi="Symbol"/>
          <w:sz w:val="24"/>
        </w:rPr>
        <w:t></w:t>
      </w:r>
      <w:r>
        <w:rPr>
          <w:i/>
          <w:position w:val="-2"/>
          <w:sz w:val="23"/>
        </w:rPr>
        <w:t>t</w:t>
      </w:r>
      <w:r>
        <w:rPr>
          <w:i/>
          <w:spacing w:val="-18"/>
          <w:position w:val="-2"/>
          <w:sz w:val="23"/>
        </w:rPr>
        <w:t> </w:t>
      </w:r>
      <w:r>
        <w:rPr>
          <w:rFonts w:ascii="Symbol" w:hAnsi="Symbol"/>
          <w:spacing w:val="-10"/>
          <w:sz w:val="24"/>
        </w:rPr>
        <w:t></w:t>
      </w:r>
    </w:p>
    <w:p>
      <w:pPr>
        <w:spacing w:before="161"/>
        <w:ind w:left="0" w:right="0" w:firstLine="0"/>
        <w:jc w:val="left"/>
        <w:rPr>
          <w:sz w:val="24"/>
        </w:rPr>
      </w:pPr>
      <w:r>
        <w:rPr/>
        <w:br w:type="column"/>
      </w:r>
      <w:r>
        <w:rPr>
          <w:spacing w:val="-5"/>
          <w:sz w:val="24"/>
        </w:rPr>
        <w:t>(1)</w:t>
      </w:r>
    </w:p>
    <w:p>
      <w:pPr>
        <w:spacing w:after="0"/>
        <w:jc w:val="left"/>
        <w:rPr>
          <w:sz w:val="24"/>
        </w:rPr>
        <w:sectPr>
          <w:type w:val="continuous"/>
          <w:pgSz w:w="12240" w:h="15840"/>
          <w:pgMar w:header="720" w:footer="746" w:top="1340" w:bottom="940" w:left="1440" w:right="1080"/>
          <w:cols w:num="5" w:equalWidth="0">
            <w:col w:w="337" w:space="3431"/>
            <w:col w:w="934" w:space="95"/>
            <w:col w:w="457" w:space="64"/>
            <w:col w:w="268" w:space="3499"/>
            <w:col w:w="635"/>
          </w:cols>
        </w:sectPr>
      </w:pPr>
    </w:p>
    <w:p>
      <w:pPr>
        <w:spacing w:line="379" w:lineRule="exact" w:before="11"/>
        <w:ind w:left="0" w:right="106" w:firstLine="0"/>
        <w:jc w:val="right"/>
        <w:rPr>
          <w:rFonts w:ascii="Symbol" w:hAnsi="Symbol"/>
          <w:sz w:val="25"/>
        </w:rPr>
      </w:pPr>
      <w:r>
        <w:rPr>
          <w:rFonts w:ascii="Symbol" w:hAnsi="Symbol"/>
          <w:sz w:val="25"/>
        </w:rPr>
        <mc:AlternateContent>
          <mc:Choice Requires="wps">
            <w:drawing>
              <wp:anchor distT="0" distB="0" distL="0" distR="0" allowOverlap="1" layoutInCell="1" locked="0" behindDoc="1" simplePos="0" relativeHeight="487016960">
                <wp:simplePos x="0" y="0"/>
                <wp:positionH relativeFrom="page">
                  <wp:posOffset>3375352</wp:posOffset>
                </wp:positionH>
                <wp:positionV relativeFrom="paragraph">
                  <wp:posOffset>119188</wp:posOffset>
                </wp:positionV>
                <wp:extent cx="697865" cy="15303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97865" cy="153035"/>
                          <a:chExt cx="697865" cy="153035"/>
                        </a:xfrm>
                      </wpg:grpSpPr>
                      <wps:wsp>
                        <wps:cNvPr id="37" name="Graphic 37"/>
                        <wps:cNvSpPr/>
                        <wps:spPr>
                          <a:xfrm>
                            <a:off x="395833" y="91989"/>
                            <a:ext cx="302260" cy="1270"/>
                          </a:xfrm>
                          <a:custGeom>
                            <a:avLst/>
                            <a:gdLst/>
                            <a:ahLst/>
                            <a:cxnLst/>
                            <a:rect l="l" t="t" r="r" b="b"/>
                            <a:pathLst>
                              <a:path w="302260" h="0">
                                <a:moveTo>
                                  <a:pt x="0" y="0"/>
                                </a:moveTo>
                                <a:lnTo>
                                  <a:pt x="301686" y="0"/>
                                </a:lnTo>
                              </a:path>
                            </a:pathLst>
                          </a:custGeom>
                          <a:ln w="7306">
                            <a:solidFill>
                              <a:srgbClr val="000000"/>
                            </a:solidFill>
                            <a:prstDash val="solid"/>
                          </a:ln>
                        </wps:spPr>
                        <wps:bodyPr wrap="square" lIns="0" tIns="0" rIns="0" bIns="0" rtlCol="0">
                          <a:prstTxWarp prst="textNoShape">
                            <a:avLst/>
                          </a:prstTxWarp>
                          <a:noAutofit/>
                        </wps:bodyPr>
                      </wps:wsp>
                      <pic:pic>
                        <pic:nvPicPr>
                          <pic:cNvPr id="38" name="Image 38"/>
                          <pic:cNvPicPr/>
                        </pic:nvPicPr>
                        <pic:blipFill>
                          <a:blip r:embed="rId16" cstate="print"/>
                          <a:stretch>
                            <a:fillRect/>
                          </a:stretch>
                        </pic:blipFill>
                        <pic:spPr>
                          <a:xfrm>
                            <a:off x="0" y="0"/>
                            <a:ext cx="613487" cy="152837"/>
                          </a:xfrm>
                          <a:prstGeom prst="rect">
                            <a:avLst/>
                          </a:prstGeom>
                        </pic:spPr>
                      </pic:pic>
                    </wpg:wgp>
                  </a:graphicData>
                </a:graphic>
              </wp:anchor>
            </w:drawing>
          </mc:Choice>
          <mc:Fallback>
            <w:pict>
              <v:group style="position:absolute;margin-left:265.775787pt;margin-top:9.384953pt;width:54.95pt;height:12.05pt;mso-position-horizontal-relative:page;mso-position-vertical-relative:paragraph;z-index:-16299520" id="docshapegroup25" coordorigin="5316,188" coordsize="1099,241">
                <v:line style="position:absolute" from="5939,333" to="6414,333" stroked="true" strokeweight=".575339pt" strokecolor="#000000">
                  <v:stroke dashstyle="solid"/>
                </v:line>
                <v:shape style="position:absolute;left:5315;top:187;width:967;height:241" type="#_x0000_t75" id="docshape26" stroked="false">
                  <v:imagedata r:id="rId16" o:title=""/>
                </v:shape>
                <w10:wrap type="none"/>
              </v:group>
            </w:pict>
          </mc:Fallback>
        </mc:AlternateContent>
      </w:r>
      <w:r>
        <w:rPr>
          <w:rFonts w:ascii="Symbol" w:hAnsi="Symbol"/>
          <w:w w:val="105"/>
          <w:sz w:val="25"/>
        </w:rPr>
        <w:t></w:t>
      </w:r>
      <w:r>
        <w:rPr>
          <w:spacing w:val="-15"/>
          <w:w w:val="105"/>
          <w:sz w:val="25"/>
        </w:rPr>
        <w:t> </w:t>
      </w:r>
      <w:r>
        <w:rPr>
          <w:rFonts w:ascii="Symbol" w:hAnsi="Symbol"/>
          <w:w w:val="105"/>
          <w:position w:val="3"/>
          <w:sz w:val="24"/>
        </w:rPr>
        <w:t></w:t>
      </w:r>
      <w:r>
        <w:rPr>
          <w:i/>
          <w:w w:val="105"/>
          <w:sz w:val="23"/>
        </w:rPr>
        <w:t>t</w:t>
      </w:r>
      <w:r>
        <w:rPr>
          <w:i/>
          <w:spacing w:val="-34"/>
          <w:w w:val="105"/>
          <w:sz w:val="23"/>
        </w:rPr>
        <w:t> </w:t>
      </w:r>
      <w:r>
        <w:rPr>
          <w:rFonts w:ascii="Symbol" w:hAnsi="Symbol"/>
          <w:w w:val="105"/>
          <w:position w:val="3"/>
          <w:sz w:val="24"/>
        </w:rPr>
        <w:t></w:t>
      </w:r>
      <w:r>
        <w:rPr>
          <w:spacing w:val="-13"/>
          <w:w w:val="105"/>
          <w:position w:val="3"/>
          <w:sz w:val="24"/>
        </w:rPr>
        <w:t> </w:t>
      </w:r>
      <w:r>
        <w:rPr>
          <w:rFonts w:ascii="Symbol" w:hAnsi="Symbol"/>
          <w:w w:val="105"/>
          <w:sz w:val="23"/>
        </w:rPr>
        <w:t></w:t>
      </w:r>
      <w:r>
        <w:rPr>
          <w:spacing w:val="9"/>
          <w:w w:val="105"/>
          <w:sz w:val="23"/>
        </w:rPr>
        <w:t> </w:t>
      </w:r>
      <w:r>
        <w:rPr>
          <w:rFonts w:ascii="Symbol" w:hAnsi="Symbol"/>
          <w:w w:val="105"/>
          <w:position w:val="15"/>
          <w:sz w:val="23"/>
        </w:rPr>
        <w:t></w:t>
      </w:r>
      <w:r>
        <w:rPr>
          <w:w w:val="105"/>
          <w:position w:val="15"/>
          <w:sz w:val="23"/>
        </w:rPr>
        <w:t>2</w:t>
      </w:r>
      <w:r>
        <w:rPr>
          <w:i/>
          <w:w w:val="105"/>
          <w:position w:val="15"/>
          <w:sz w:val="23"/>
        </w:rPr>
        <w:t>c</w:t>
      </w:r>
      <w:r>
        <w:rPr>
          <w:i/>
          <w:w w:val="105"/>
          <w:position w:val="9"/>
          <w:sz w:val="13"/>
        </w:rPr>
        <w:t>b</w:t>
      </w:r>
      <w:r>
        <w:rPr>
          <w:i/>
          <w:spacing w:val="30"/>
          <w:w w:val="105"/>
          <w:position w:val="9"/>
          <w:sz w:val="13"/>
        </w:rPr>
        <w:t> </w:t>
      </w:r>
      <w:r>
        <w:rPr>
          <w:rFonts w:ascii="Symbol" w:hAnsi="Symbol"/>
          <w:spacing w:val="-10"/>
          <w:w w:val="105"/>
          <w:sz w:val="25"/>
        </w:rPr>
        <w:t></w:t>
      </w:r>
    </w:p>
    <w:p>
      <w:pPr>
        <w:tabs>
          <w:tab w:pos="460" w:val="left" w:leader="none"/>
        </w:tabs>
        <w:spacing w:line="69" w:lineRule="auto" w:before="8"/>
        <w:ind w:left="0" w:right="0" w:firstLine="0"/>
        <w:jc w:val="right"/>
        <w:rPr>
          <w:i/>
          <w:sz w:val="13"/>
        </w:rPr>
      </w:pPr>
      <w:r>
        <w:rPr>
          <w:i/>
          <w:spacing w:val="-10"/>
          <w:w w:val="110"/>
          <w:position w:val="-11"/>
          <w:sz w:val="23"/>
        </w:rPr>
        <w:t>L</w:t>
      </w:r>
      <w:r>
        <w:rPr>
          <w:i/>
          <w:position w:val="-11"/>
          <w:sz w:val="23"/>
        </w:rPr>
        <w:tab/>
      </w:r>
      <w:r>
        <w:rPr>
          <w:i/>
          <w:spacing w:val="-10"/>
          <w:w w:val="110"/>
          <w:sz w:val="13"/>
        </w:rPr>
        <w:t>R</w:t>
      </w:r>
    </w:p>
    <w:p>
      <w:pPr>
        <w:spacing w:before="121"/>
        <w:ind w:left="11" w:right="0" w:firstLine="0"/>
        <w:jc w:val="left"/>
        <w:rPr>
          <w:rFonts w:ascii="Symbol" w:hAnsi="Symbol"/>
          <w:sz w:val="24"/>
        </w:rPr>
      </w:pPr>
      <w:r>
        <w:rPr/>
        <w:br w:type="column"/>
      </w:r>
      <w:r>
        <w:rPr>
          <w:rFonts w:ascii="Symbol" w:hAnsi="Symbol"/>
          <w:sz w:val="24"/>
        </w:rPr>
        <w:t></w:t>
      </w:r>
      <w:r>
        <w:rPr>
          <w:i/>
          <w:position w:val="-2"/>
          <w:sz w:val="23"/>
        </w:rPr>
        <w:t>t</w:t>
      </w:r>
      <w:r>
        <w:rPr>
          <w:i/>
          <w:spacing w:val="-15"/>
          <w:position w:val="-2"/>
          <w:sz w:val="23"/>
        </w:rPr>
        <w:t> </w:t>
      </w:r>
      <w:r>
        <w:rPr>
          <w:rFonts w:ascii="Symbol" w:hAnsi="Symbol"/>
          <w:spacing w:val="-10"/>
          <w:sz w:val="24"/>
        </w:rPr>
        <w:t></w:t>
      </w:r>
    </w:p>
    <w:p>
      <w:pPr>
        <w:spacing w:before="164"/>
        <w:ind w:left="0" w:right="351" w:firstLine="0"/>
        <w:jc w:val="right"/>
        <w:rPr>
          <w:sz w:val="24"/>
        </w:rPr>
      </w:pPr>
      <w:r>
        <w:rPr/>
        <w:br w:type="column"/>
      </w:r>
      <w:r>
        <w:rPr>
          <w:spacing w:val="-5"/>
          <w:sz w:val="24"/>
        </w:rPr>
        <w:t>(2)</w:t>
      </w:r>
    </w:p>
    <w:p>
      <w:pPr>
        <w:spacing w:after="0"/>
        <w:jc w:val="right"/>
        <w:rPr>
          <w:sz w:val="24"/>
        </w:rPr>
        <w:sectPr>
          <w:type w:val="continuous"/>
          <w:pgSz w:w="12240" w:h="15840"/>
          <w:pgMar w:header="720" w:footer="746" w:top="1340" w:bottom="940" w:left="1440" w:right="1080"/>
          <w:cols w:num="3" w:equalWidth="0">
            <w:col w:w="5222" w:space="40"/>
            <w:col w:w="281" w:space="39"/>
            <w:col w:w="4138"/>
          </w:cols>
        </w:sectPr>
      </w:pPr>
    </w:p>
    <w:p>
      <w:pPr>
        <w:pStyle w:val="BodyText"/>
        <w:spacing w:before="115"/>
        <w:ind w:right="510"/>
      </w:pPr>
      <w:r>
        <w:rPr>
          <w:position w:val="2"/>
        </w:rPr>
        <w:t>where</w:t>
      </w:r>
      <w:r>
        <w:rPr>
          <w:spacing w:val="-3"/>
          <w:position w:val="2"/>
        </w:rPr>
        <w:t> </w:t>
      </w:r>
      <w:r>
        <w:rPr>
          <w:i/>
          <w:position w:val="2"/>
        </w:rPr>
        <w:t>E</w:t>
      </w:r>
      <w:r>
        <w:rPr>
          <w:i/>
          <w:sz w:val="16"/>
        </w:rPr>
        <w:t>b</w:t>
      </w:r>
      <w:r>
        <w:rPr>
          <w:position w:val="2"/>
        </w:rPr>
        <w:t>,</w:t>
      </w:r>
      <w:r>
        <w:rPr>
          <w:spacing w:val="-5"/>
          <w:position w:val="2"/>
        </w:rPr>
        <w:t> </w:t>
      </w:r>
      <w:r>
        <w:rPr>
          <w:i/>
          <w:position w:val="2"/>
        </w:rPr>
        <w:t>A</w:t>
      </w:r>
      <w:r>
        <w:rPr>
          <w:i/>
          <w:sz w:val="16"/>
        </w:rPr>
        <w:t>b</w:t>
      </w:r>
      <w:r>
        <w:rPr>
          <w:i/>
          <w:spacing w:val="19"/>
          <w:sz w:val="16"/>
        </w:rPr>
        <w:t> </w:t>
      </w:r>
      <w:r>
        <w:rPr>
          <w:position w:val="2"/>
        </w:rPr>
        <w:t>and</w:t>
      </w:r>
      <w:r>
        <w:rPr>
          <w:spacing w:val="-3"/>
          <w:position w:val="2"/>
        </w:rPr>
        <w:t> </w:t>
      </w:r>
      <w:r>
        <w:rPr>
          <w:i/>
          <w:position w:val="2"/>
        </w:rPr>
        <w:t>c</w:t>
      </w:r>
      <w:r>
        <w:rPr>
          <w:i/>
          <w:sz w:val="16"/>
        </w:rPr>
        <w:t>b</w:t>
      </w:r>
      <w:r>
        <w:rPr>
          <w:i/>
          <w:spacing w:val="20"/>
          <w:sz w:val="16"/>
        </w:rPr>
        <w:t> </w:t>
      </w:r>
      <w:r>
        <w:rPr>
          <w:position w:val="2"/>
        </w:rPr>
        <w:t>are</w:t>
      </w:r>
      <w:r>
        <w:rPr>
          <w:spacing w:val="-8"/>
          <w:position w:val="2"/>
        </w:rPr>
        <w:t> </w:t>
      </w:r>
      <w:r>
        <w:rPr>
          <w:position w:val="2"/>
        </w:rPr>
        <w:t>the</w:t>
      </w:r>
      <w:r>
        <w:rPr>
          <w:spacing w:val="-4"/>
          <w:position w:val="2"/>
        </w:rPr>
        <w:t> </w:t>
      </w:r>
      <w:r>
        <w:rPr>
          <w:position w:val="2"/>
        </w:rPr>
        <w:t>Young’s</w:t>
      </w:r>
      <w:r>
        <w:rPr>
          <w:spacing w:val="-1"/>
          <w:position w:val="2"/>
        </w:rPr>
        <w:t> </w:t>
      </w:r>
      <w:r>
        <w:rPr>
          <w:position w:val="2"/>
        </w:rPr>
        <w:t>modulus,</w:t>
      </w:r>
      <w:r>
        <w:rPr>
          <w:spacing w:val="-1"/>
          <w:position w:val="2"/>
        </w:rPr>
        <w:t> </w:t>
      </w:r>
      <w:r>
        <w:rPr>
          <w:position w:val="2"/>
        </w:rPr>
        <w:t>cross-sectional</w:t>
      </w:r>
      <w:r>
        <w:rPr>
          <w:spacing w:val="-11"/>
          <w:position w:val="2"/>
        </w:rPr>
        <w:t> </w:t>
      </w:r>
      <w:r>
        <w:rPr>
          <w:position w:val="2"/>
        </w:rPr>
        <w:t>area</w:t>
      </w:r>
      <w:r>
        <w:rPr>
          <w:spacing w:val="-4"/>
          <w:position w:val="2"/>
        </w:rPr>
        <w:t> </w:t>
      </w:r>
      <w:r>
        <w:rPr>
          <w:position w:val="2"/>
        </w:rPr>
        <w:t>and longitudinal</w:t>
      </w:r>
      <w:r>
        <w:rPr>
          <w:spacing w:val="-7"/>
          <w:position w:val="2"/>
        </w:rPr>
        <w:t> </w:t>
      </w:r>
      <w:r>
        <w:rPr>
          <w:position w:val="2"/>
        </w:rPr>
        <w:t>wave</w:t>
      </w:r>
      <w:r>
        <w:rPr>
          <w:spacing w:val="-4"/>
          <w:position w:val="2"/>
        </w:rPr>
        <w:t> </w:t>
      </w:r>
      <w:r>
        <w:rPr>
          <w:position w:val="2"/>
        </w:rPr>
        <w:t>speed of</w:t>
      </w:r>
      <w:r>
        <w:rPr>
          <w:spacing w:val="-4"/>
          <w:position w:val="2"/>
        </w:rPr>
        <w:t> </w:t>
      </w:r>
      <w:r>
        <w:rPr>
          <w:position w:val="2"/>
        </w:rPr>
        <w:t>the bars, respectively; </w:t>
      </w:r>
      <w:r>
        <w:rPr>
          <w:i/>
          <w:position w:val="2"/>
        </w:rPr>
        <w:t>ε</w:t>
      </w:r>
      <w:r>
        <w:rPr>
          <w:i/>
          <w:sz w:val="16"/>
        </w:rPr>
        <w:t>T</w:t>
      </w:r>
      <w:r>
        <w:rPr>
          <w:i/>
          <w:spacing w:val="22"/>
          <w:sz w:val="16"/>
        </w:rPr>
        <w:t> </w:t>
      </w:r>
      <w:r>
        <w:rPr>
          <w:position w:val="2"/>
        </w:rPr>
        <w:t>and </w:t>
      </w:r>
      <w:r>
        <w:rPr>
          <w:i/>
          <w:position w:val="2"/>
        </w:rPr>
        <w:t>ε</w:t>
      </w:r>
      <w:r>
        <w:rPr>
          <w:i/>
          <w:sz w:val="16"/>
        </w:rPr>
        <w:t>R</w:t>
      </w:r>
      <w:r>
        <w:rPr>
          <w:i/>
          <w:spacing w:val="23"/>
          <w:sz w:val="16"/>
        </w:rPr>
        <w:t> </w:t>
      </w:r>
      <w:r>
        <w:rPr>
          <w:position w:val="2"/>
        </w:rPr>
        <w:t>denote</w:t>
      </w:r>
      <w:r>
        <w:rPr>
          <w:spacing w:val="-2"/>
          <w:position w:val="2"/>
        </w:rPr>
        <w:t> </w:t>
      </w:r>
      <w:r>
        <w:rPr>
          <w:position w:val="2"/>
        </w:rPr>
        <w:t>the amplitudes of</w:t>
      </w:r>
      <w:r>
        <w:rPr>
          <w:spacing w:val="-4"/>
          <w:position w:val="2"/>
        </w:rPr>
        <w:t> </w:t>
      </w:r>
      <w:r>
        <w:rPr>
          <w:position w:val="2"/>
        </w:rPr>
        <w:t>the transmitted and reflected strain </w:t>
      </w:r>
      <w:r>
        <w:rPr/>
        <w:t>pulses, and </w:t>
      </w:r>
      <w:r>
        <w:rPr>
          <w:i/>
        </w:rPr>
        <w:t>A </w:t>
      </w:r>
      <w:r>
        <w:rPr/>
        <w:t>and </w:t>
      </w:r>
      <w:r>
        <w:rPr>
          <w:i/>
        </w:rPr>
        <w:t>L </w:t>
      </w:r>
      <w:r>
        <w:rPr/>
        <w:t>are the cross-sectional area and length of the specimen, respectively. The expression of strain rate in Equation (2) may be integrated with respect to time to obtain the </w:t>
      </w:r>
      <w:r>
        <w:rPr>
          <w:spacing w:val="-2"/>
        </w:rPr>
        <w:t>strain:</w:t>
      </w:r>
    </w:p>
    <w:p>
      <w:pPr>
        <w:pStyle w:val="BodyText"/>
        <w:spacing w:after="0"/>
        <w:sectPr>
          <w:type w:val="continuous"/>
          <w:pgSz w:w="12240" w:h="15840"/>
          <w:pgMar w:header="720" w:footer="746" w:top="1340" w:bottom="940" w:left="1440" w:right="1080"/>
        </w:sectPr>
      </w:pPr>
    </w:p>
    <w:p>
      <w:pPr>
        <w:spacing w:line="2" w:lineRule="exact" w:before="144"/>
        <w:ind w:left="0" w:right="0" w:firstLine="0"/>
        <w:jc w:val="right"/>
        <w:rPr>
          <w:rFonts w:ascii="Symbol" w:hAnsi="Symbol"/>
          <w:sz w:val="24"/>
        </w:rPr>
      </w:pPr>
      <w:r>
        <w:rPr>
          <w:rFonts w:ascii="Symbol" w:hAnsi="Symbol"/>
          <w:position w:val="-2"/>
          <w:sz w:val="25"/>
        </w:rPr>
        <w:t></w:t>
      </w:r>
      <w:r>
        <w:rPr>
          <w:spacing w:val="-11"/>
          <w:position w:val="-2"/>
          <w:sz w:val="25"/>
        </w:rPr>
        <w:t> </w:t>
      </w:r>
      <w:r>
        <w:rPr>
          <w:rFonts w:ascii="Symbol" w:hAnsi="Symbol"/>
          <w:sz w:val="24"/>
        </w:rPr>
        <w:t></w:t>
      </w:r>
      <w:r>
        <w:rPr>
          <w:spacing w:val="44"/>
          <w:sz w:val="24"/>
        </w:rPr>
        <w:t> </w:t>
      </w:r>
      <w:r>
        <w:rPr>
          <w:rFonts w:ascii="Symbol" w:hAnsi="Symbol"/>
          <w:spacing w:val="-10"/>
          <w:sz w:val="24"/>
        </w:rPr>
        <w:t></w:t>
      </w:r>
    </w:p>
    <w:p>
      <w:pPr>
        <w:spacing w:line="110" w:lineRule="exact" w:before="36"/>
        <w:ind w:left="217" w:right="0" w:firstLine="0"/>
        <w:jc w:val="left"/>
        <w:rPr>
          <w:i/>
          <w:sz w:val="23"/>
        </w:rPr>
      </w:pPr>
      <w:r>
        <w:rPr/>
        <w:br w:type="column"/>
      </w:r>
      <w:r>
        <w:rPr>
          <w:rFonts w:ascii="Symbol" w:hAnsi="Symbol"/>
          <w:spacing w:val="-5"/>
          <w:w w:val="105"/>
          <w:sz w:val="23"/>
        </w:rPr>
        <w:t></w:t>
      </w:r>
      <w:r>
        <w:rPr>
          <w:spacing w:val="-5"/>
          <w:w w:val="105"/>
          <w:sz w:val="23"/>
        </w:rPr>
        <w:t>2</w:t>
      </w:r>
      <w:r>
        <w:rPr>
          <w:i/>
          <w:spacing w:val="-5"/>
          <w:w w:val="105"/>
          <w:sz w:val="23"/>
        </w:rPr>
        <w:t>c</w:t>
      </w:r>
    </w:p>
    <w:p>
      <w:pPr>
        <w:spacing w:line="136" w:lineRule="exact" w:before="10"/>
        <w:ind w:left="127" w:right="0" w:firstLine="0"/>
        <w:jc w:val="left"/>
        <w:rPr>
          <w:i/>
          <w:sz w:val="13"/>
        </w:rPr>
      </w:pPr>
      <w:r>
        <w:rPr/>
        <w:br w:type="column"/>
      </w:r>
      <w:r>
        <w:rPr>
          <w:i/>
          <w:spacing w:val="-10"/>
          <w:w w:val="110"/>
          <w:sz w:val="13"/>
        </w:rPr>
        <w:t>t</w:t>
      </w:r>
    </w:p>
    <w:p>
      <w:pPr>
        <w:spacing w:line="16" w:lineRule="exact" w:before="0"/>
        <w:ind w:left="228" w:right="0" w:firstLine="0"/>
        <w:jc w:val="left"/>
        <w:rPr>
          <w:rFonts w:ascii="Symbol" w:hAnsi="Symbol"/>
          <w:sz w:val="25"/>
        </w:rPr>
      </w:pPr>
      <w:r>
        <w:rPr>
          <w:rFonts w:ascii="Symbol" w:hAnsi="Symbol"/>
          <w:sz w:val="25"/>
        </w:rPr>
        <w:t></w:t>
      </w:r>
      <w:r>
        <w:rPr>
          <w:spacing w:val="57"/>
          <w:w w:val="150"/>
          <w:sz w:val="25"/>
        </w:rPr>
        <w:t> </w:t>
      </w:r>
      <w:r>
        <w:rPr>
          <w:rFonts w:ascii="Symbol" w:hAnsi="Symbol"/>
          <w:position w:val="3"/>
          <w:sz w:val="24"/>
        </w:rPr>
        <w:t></w:t>
      </w:r>
      <w:r>
        <w:rPr>
          <w:rFonts w:ascii="Symbol" w:hAnsi="Symbol"/>
          <w:sz w:val="25"/>
        </w:rPr>
        <w:t></w:t>
      </w:r>
      <w:r>
        <w:rPr>
          <w:spacing w:val="-15"/>
          <w:sz w:val="25"/>
        </w:rPr>
        <w:t> </w:t>
      </w:r>
      <w:r>
        <w:rPr>
          <w:rFonts w:ascii="Symbol" w:hAnsi="Symbol"/>
          <w:position w:val="3"/>
          <w:sz w:val="24"/>
        </w:rPr>
        <w:t></w:t>
      </w:r>
      <w:r>
        <w:rPr>
          <w:spacing w:val="33"/>
          <w:position w:val="3"/>
          <w:sz w:val="24"/>
        </w:rPr>
        <w:t> </w:t>
      </w:r>
      <w:r>
        <w:rPr>
          <w:rFonts w:ascii="Symbol" w:hAnsi="Symbol"/>
          <w:spacing w:val="-10"/>
          <w:sz w:val="25"/>
        </w:rPr>
        <w:t></w:t>
      </w:r>
    </w:p>
    <w:p>
      <w:pPr>
        <w:spacing w:after="0" w:line="16" w:lineRule="exact"/>
        <w:jc w:val="left"/>
        <w:rPr>
          <w:rFonts w:ascii="Symbol" w:hAnsi="Symbol"/>
          <w:sz w:val="25"/>
        </w:rPr>
        <w:sectPr>
          <w:type w:val="continuous"/>
          <w:pgSz w:w="12240" w:h="15840"/>
          <w:pgMar w:header="720" w:footer="746" w:top="1340" w:bottom="940" w:left="1440" w:right="1080"/>
          <w:cols w:num="3" w:equalWidth="0">
            <w:col w:w="4037" w:space="40"/>
            <w:col w:w="578" w:space="39"/>
            <w:col w:w="5026"/>
          </w:cols>
        </w:sectPr>
      </w:pPr>
    </w:p>
    <w:p>
      <w:pPr>
        <w:tabs>
          <w:tab w:pos="784" w:val="left" w:leader="none"/>
          <w:tab w:pos="1620" w:val="left" w:leader="none"/>
        </w:tabs>
        <w:spacing w:line="232" w:lineRule="exact" w:before="0"/>
        <w:ind w:left="0" w:right="0" w:firstLine="0"/>
        <w:jc w:val="right"/>
        <w:rPr>
          <w:i/>
          <w:sz w:val="23"/>
        </w:rPr>
      </w:pPr>
      <w:r>
        <w:rPr>
          <w:i/>
          <w:sz w:val="23"/>
        </w:rPr>
        <mc:AlternateContent>
          <mc:Choice Requires="wps">
            <w:drawing>
              <wp:anchor distT="0" distB="0" distL="0" distR="0" allowOverlap="1" layoutInCell="1" locked="0" behindDoc="0" simplePos="0" relativeHeight="15741440">
                <wp:simplePos x="0" y="0"/>
                <wp:positionH relativeFrom="page">
                  <wp:posOffset>4122809</wp:posOffset>
                </wp:positionH>
                <wp:positionV relativeFrom="paragraph">
                  <wp:posOffset>125226</wp:posOffset>
                </wp:positionV>
                <wp:extent cx="55244" cy="9715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5244" cy="97155"/>
                        </a:xfrm>
                        <a:prstGeom prst="rect">
                          <a:avLst/>
                        </a:prstGeom>
                      </wps:spPr>
                      <wps:txbx>
                        <w:txbxContent>
                          <w:p>
                            <w:pPr>
                              <w:spacing w:before="1"/>
                              <w:ind w:left="0" w:right="0" w:firstLine="0"/>
                              <w:jc w:val="left"/>
                              <w:rPr>
                                <w:i/>
                                <w:sz w:val="13"/>
                              </w:rPr>
                            </w:pPr>
                            <w:r>
                              <w:rPr>
                                <w:i/>
                                <w:spacing w:val="-10"/>
                                <w:sz w:val="13"/>
                              </w:rPr>
                              <w:t>R</w:t>
                            </w:r>
                          </w:p>
                        </w:txbxContent>
                      </wps:txbx>
                      <wps:bodyPr wrap="square" lIns="0" tIns="0" rIns="0" bIns="0" rtlCol="0">
                        <a:noAutofit/>
                      </wps:bodyPr>
                    </wps:wsp>
                  </a:graphicData>
                </a:graphic>
              </wp:anchor>
            </w:drawing>
          </mc:Choice>
          <mc:Fallback>
            <w:pict>
              <v:shape style="position:absolute;margin-left:324.630646pt;margin-top:9.860322pt;width:4.350pt;height:7.65pt;mso-position-horizontal-relative:page;mso-position-vertical-relative:paragraph;z-index:15741440" type="#_x0000_t202" id="docshape27" filled="false" stroked="false">
                <v:textbox inset="0,0,0,0">
                  <w:txbxContent>
                    <w:p>
                      <w:pPr>
                        <w:spacing w:before="1"/>
                        <w:ind w:left="0" w:right="0" w:firstLine="0"/>
                        <w:jc w:val="left"/>
                        <w:rPr>
                          <w:i/>
                          <w:sz w:val="13"/>
                        </w:rPr>
                      </w:pPr>
                      <w:r>
                        <w:rPr>
                          <w:i/>
                          <w:spacing w:val="-10"/>
                          <w:sz w:val="13"/>
                        </w:rPr>
                        <w:t>R</w:t>
                      </w:r>
                    </w:p>
                  </w:txbxContent>
                </v:textbox>
                <w10:wrap type="none"/>
              </v:shape>
            </w:pict>
          </mc:Fallback>
        </mc:AlternateContent>
      </w:r>
      <w:r>
        <w:rPr>
          <w:i/>
          <w:sz w:val="23"/>
        </w:rPr>
        <w:t>t</w:t>
      </w:r>
      <w:r>
        <w:rPr>
          <w:i/>
          <w:spacing w:val="80"/>
          <w:w w:val="150"/>
          <w:sz w:val="23"/>
        </w:rPr>
        <w:t> </w:t>
      </w:r>
      <w:r>
        <w:rPr>
          <w:rFonts w:ascii="Symbol" w:hAnsi="Symbol"/>
          <w:sz w:val="23"/>
        </w:rPr>
        <w:t></w:t>
      </w:r>
      <w:r>
        <w:rPr>
          <w:sz w:val="23"/>
        </w:rPr>
        <w:t> </w:t>
      </w:r>
      <w:r>
        <w:rPr>
          <w:i/>
          <w:sz w:val="23"/>
          <w:u w:val="single"/>
          <w:vertAlign w:val="baseline"/>
        </w:rPr>
        <w:tab/>
      </w:r>
      <w:r>
        <w:rPr>
          <w:i/>
          <w:spacing w:val="-2"/>
          <w:sz w:val="23"/>
          <w:u w:val="single"/>
          <w:vertAlign w:val="superscript"/>
        </w:rPr>
        <w:t>b</w:t>
      </w:r>
      <w:r>
        <w:rPr>
          <w:i/>
          <w:spacing w:val="-23"/>
          <w:sz w:val="23"/>
          <w:u w:val="single"/>
          <w:vertAlign w:val="baseline"/>
        </w:rPr>
        <w:t> </w:t>
      </w:r>
      <w:r>
        <w:rPr>
          <w:i/>
          <w:spacing w:val="-12"/>
          <w:sz w:val="23"/>
          <w:vertAlign w:val="baseline"/>
        </w:rPr>
        <w:t> </w:t>
      </w:r>
      <w:r>
        <w:rPr>
          <w:rFonts w:ascii="Symbol" w:hAnsi="Symbol"/>
          <w:spacing w:val="-10"/>
          <w:position w:val="-8"/>
          <w:sz w:val="35"/>
          <w:vertAlign w:val="baseline"/>
        </w:rPr>
        <w:t></w:t>
      </w:r>
      <w:r>
        <w:rPr>
          <w:position w:val="-8"/>
          <w:sz w:val="35"/>
          <w:vertAlign w:val="baseline"/>
        </w:rPr>
        <w:tab/>
      </w:r>
      <w:r>
        <w:rPr>
          <w:i/>
          <w:spacing w:val="-10"/>
          <w:sz w:val="23"/>
          <w:vertAlign w:val="baseline"/>
        </w:rPr>
        <w:t>d</w:t>
      </w:r>
    </w:p>
    <w:p>
      <w:pPr>
        <w:spacing w:line="203" w:lineRule="exact" w:before="29"/>
        <w:ind w:left="0" w:right="351" w:firstLine="0"/>
        <w:jc w:val="right"/>
        <w:rPr>
          <w:sz w:val="24"/>
        </w:rPr>
      </w:pPr>
      <w:r>
        <w:rPr/>
        <w:br w:type="column"/>
      </w:r>
      <w:r>
        <w:rPr>
          <w:spacing w:val="-5"/>
          <w:sz w:val="24"/>
        </w:rPr>
        <w:t>(3)</w:t>
      </w:r>
    </w:p>
    <w:p>
      <w:pPr>
        <w:spacing w:after="0" w:line="203" w:lineRule="exact"/>
        <w:jc w:val="right"/>
        <w:rPr>
          <w:sz w:val="24"/>
        </w:rPr>
        <w:sectPr>
          <w:type w:val="continuous"/>
          <w:pgSz w:w="12240" w:h="15840"/>
          <w:pgMar w:header="720" w:footer="746" w:top="1340" w:bottom="940" w:left="1440" w:right="1080"/>
          <w:cols w:num="2" w:equalWidth="0">
            <w:col w:w="5605" w:space="40"/>
            <w:col w:w="4075"/>
          </w:cols>
        </w:sectPr>
      </w:pPr>
    </w:p>
    <w:p>
      <w:pPr>
        <w:tabs>
          <w:tab w:pos="357" w:val="left" w:leader="none"/>
        </w:tabs>
        <w:spacing w:line="310" w:lineRule="exact" w:before="0"/>
        <w:ind w:left="0" w:right="382" w:firstLine="0"/>
        <w:jc w:val="center"/>
        <w:rPr>
          <w:position w:val="-6"/>
          <w:sz w:val="13"/>
        </w:rPr>
      </w:pPr>
      <w:r>
        <w:rPr>
          <w:position w:val="-6"/>
          <w:sz w:val="13"/>
        </w:rPr>
        <mc:AlternateContent>
          <mc:Choice Requires="wps">
            <w:drawing>
              <wp:anchor distT="0" distB="0" distL="0" distR="0" allowOverlap="1" layoutInCell="1" locked="0" behindDoc="0" simplePos="0" relativeHeight="15740928">
                <wp:simplePos x="0" y="0"/>
                <wp:positionH relativeFrom="page">
                  <wp:posOffset>-1637</wp:posOffset>
                </wp:positionH>
                <wp:positionV relativeFrom="page">
                  <wp:posOffset>2272607</wp:posOffset>
                </wp:positionV>
                <wp:extent cx="138430" cy="551370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40928" type="#_x0000_t202" id="docshape28"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i/>
          <w:spacing w:val="-10"/>
          <w:w w:val="105"/>
          <w:sz w:val="23"/>
        </w:rPr>
        <w:t>L</w:t>
      </w:r>
      <w:r>
        <w:rPr>
          <w:i/>
          <w:sz w:val="23"/>
        </w:rPr>
        <w:tab/>
      </w:r>
      <w:r>
        <w:rPr>
          <w:spacing w:val="-10"/>
          <w:w w:val="105"/>
          <w:position w:val="-6"/>
          <w:sz w:val="13"/>
        </w:rPr>
        <w:t>0</w:t>
      </w:r>
    </w:p>
    <w:p>
      <w:pPr>
        <w:pStyle w:val="BodyText"/>
        <w:spacing w:before="1"/>
        <w:rPr>
          <w:sz w:val="18"/>
        </w:rPr>
      </w:pPr>
      <w:r>
        <w:rPr>
          <w:sz w:val="18"/>
        </w:rPr>
        <w:drawing>
          <wp:anchor distT="0" distB="0" distL="0" distR="0" allowOverlap="1" layoutInCell="1" locked="0" behindDoc="1" simplePos="0" relativeHeight="487598592">
            <wp:simplePos x="0" y="0"/>
            <wp:positionH relativeFrom="page">
              <wp:posOffset>1349121</wp:posOffset>
            </wp:positionH>
            <wp:positionV relativeFrom="paragraph">
              <wp:posOffset>147716</wp:posOffset>
            </wp:positionV>
            <wp:extent cx="5109654" cy="3302508"/>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17" cstate="print"/>
                    <a:stretch>
                      <a:fillRect/>
                    </a:stretch>
                  </pic:blipFill>
                  <pic:spPr>
                    <a:xfrm>
                      <a:off x="0" y="0"/>
                      <a:ext cx="5109654" cy="3302508"/>
                    </a:xfrm>
                    <a:prstGeom prst="rect">
                      <a:avLst/>
                    </a:prstGeom>
                  </pic:spPr>
                </pic:pic>
              </a:graphicData>
            </a:graphic>
          </wp:anchor>
        </w:drawing>
      </w:r>
    </w:p>
    <w:p>
      <w:pPr>
        <w:pStyle w:val="Heading2"/>
        <w:ind w:left="922"/>
      </w:pPr>
      <w:r>
        <w:rPr/>
        <w:t>Figure</w:t>
      </w:r>
      <w:r>
        <w:rPr>
          <w:spacing w:val="-5"/>
        </w:rPr>
        <w:t> </w:t>
      </w:r>
      <w:r>
        <w:rPr/>
        <w:t>7.</w:t>
      </w:r>
      <w:r>
        <w:rPr>
          <w:spacing w:val="2"/>
        </w:rPr>
        <w:t> </w:t>
      </w:r>
      <w:r>
        <w:rPr/>
        <w:t>Schematics</w:t>
      </w:r>
      <w:r>
        <w:rPr>
          <w:spacing w:val="-4"/>
        </w:rPr>
        <w:t> </w:t>
      </w:r>
      <w:r>
        <w:rPr/>
        <w:t>of</w:t>
      </w:r>
      <w:r>
        <w:rPr>
          <w:spacing w:val="-4"/>
        </w:rPr>
        <w:t> </w:t>
      </w:r>
      <w:r>
        <w:rPr/>
        <w:t>Split</w:t>
      </w:r>
      <w:r>
        <w:rPr>
          <w:spacing w:val="1"/>
        </w:rPr>
        <w:t> </w:t>
      </w:r>
      <w:r>
        <w:rPr/>
        <w:t>Hopkinson</w:t>
      </w:r>
      <w:r>
        <w:rPr>
          <w:spacing w:val="-1"/>
        </w:rPr>
        <w:t> </w:t>
      </w:r>
      <w:r>
        <w:rPr/>
        <w:t>Pressure</w:t>
      </w:r>
      <w:r>
        <w:rPr>
          <w:spacing w:val="-2"/>
        </w:rPr>
        <w:t> </w:t>
      </w:r>
      <w:r>
        <w:rPr/>
        <w:t>Bar</w:t>
      </w:r>
      <w:r>
        <w:rPr>
          <w:spacing w:val="-7"/>
        </w:rPr>
        <w:t> </w:t>
      </w:r>
      <w:r>
        <w:rPr/>
        <w:t>(SHPB) </w:t>
      </w:r>
      <w:r>
        <w:rPr>
          <w:spacing w:val="-2"/>
        </w:rPr>
        <w:t>apparatus.</w:t>
      </w:r>
    </w:p>
    <w:p>
      <w:pPr>
        <w:pStyle w:val="BodyText"/>
        <w:spacing w:before="163"/>
        <w:ind w:right="391" w:firstLine="360"/>
      </w:pPr>
      <w:r>
        <w:rPr/>
        <w:t>For SHPB</w:t>
      </w:r>
      <w:r>
        <w:rPr>
          <w:spacing w:val="-6"/>
        </w:rPr>
        <w:t> </w:t>
      </w:r>
      <w:r>
        <w:rPr/>
        <w:t>tests</w:t>
      </w:r>
      <w:r>
        <w:rPr>
          <w:spacing w:val="-2"/>
        </w:rPr>
        <w:t> </w:t>
      </w:r>
      <w:r>
        <w:rPr/>
        <w:t>on quasi-brittle materials, the specimen must comply with certain dimension requirements</w:t>
      </w:r>
      <w:r>
        <w:rPr>
          <w:spacing w:val="-4"/>
        </w:rPr>
        <w:t> </w:t>
      </w:r>
      <w:r>
        <w:rPr/>
        <w:t>such</w:t>
      </w:r>
      <w:r>
        <w:rPr>
          <w:spacing w:val="-7"/>
        </w:rPr>
        <w:t> </w:t>
      </w:r>
      <w:r>
        <w:rPr/>
        <w:t>that</w:t>
      </w:r>
      <w:r>
        <w:rPr>
          <w:spacing w:val="-2"/>
        </w:rPr>
        <w:t> </w:t>
      </w:r>
      <w:r>
        <w:rPr/>
        <w:t>the</w:t>
      </w:r>
      <w:r>
        <w:rPr>
          <w:spacing w:val="-3"/>
        </w:rPr>
        <w:t> </w:t>
      </w:r>
      <w:r>
        <w:rPr/>
        <w:t>stresses</w:t>
      </w:r>
      <w:r>
        <w:rPr>
          <w:spacing w:val="-4"/>
        </w:rPr>
        <w:t> </w:t>
      </w:r>
      <w:r>
        <w:rPr/>
        <w:t>along</w:t>
      </w:r>
      <w:r>
        <w:rPr>
          <w:spacing w:val="-2"/>
        </w:rPr>
        <w:t> </w:t>
      </w:r>
      <w:r>
        <w:rPr/>
        <w:t>the length</w:t>
      </w:r>
      <w:r>
        <w:rPr>
          <w:spacing w:val="-7"/>
        </w:rPr>
        <w:t> </w:t>
      </w:r>
      <w:r>
        <w:rPr/>
        <w:t>of</w:t>
      </w:r>
      <w:r>
        <w:rPr>
          <w:spacing w:val="-10"/>
        </w:rPr>
        <w:t> </w:t>
      </w:r>
      <w:r>
        <w:rPr/>
        <w:t>the</w:t>
      </w:r>
      <w:r>
        <w:rPr>
          <w:spacing w:val="-3"/>
        </w:rPr>
        <w:t> </w:t>
      </w:r>
      <w:r>
        <w:rPr/>
        <w:t>sample</w:t>
      </w:r>
      <w:r>
        <w:rPr>
          <w:spacing w:val="-3"/>
        </w:rPr>
        <w:t> </w:t>
      </w:r>
      <w:r>
        <w:rPr/>
        <w:t>are</w:t>
      </w:r>
      <w:r>
        <w:rPr>
          <w:spacing w:val="-3"/>
        </w:rPr>
        <w:t> </w:t>
      </w:r>
      <w:r>
        <w:rPr/>
        <w:t>uniform</w:t>
      </w:r>
      <w:r>
        <w:rPr>
          <w:spacing w:val="-11"/>
        </w:rPr>
        <w:t> </w:t>
      </w:r>
      <w:r>
        <w:rPr/>
        <w:t>during</w:t>
      </w:r>
      <w:r>
        <w:rPr>
          <w:spacing w:val="-2"/>
        </w:rPr>
        <w:t> </w:t>
      </w:r>
      <w:r>
        <w:rPr/>
        <w:t>the loading. Five to ten wave reverberations within the specimen is generally required (Lindholm 1971).</w:t>
      </w:r>
    </w:p>
    <w:p>
      <w:pPr>
        <w:pStyle w:val="BodyText"/>
        <w:ind w:right="422"/>
      </w:pPr>
      <w:r>
        <w:rPr/>
        <w:t>Specimens</w:t>
      </w:r>
      <w:r>
        <w:rPr>
          <w:spacing w:val="-5"/>
        </w:rPr>
        <w:t> </w:t>
      </w:r>
      <w:r>
        <w:rPr/>
        <w:t>that are</w:t>
      </w:r>
      <w:r>
        <w:rPr>
          <w:spacing w:val="-4"/>
        </w:rPr>
        <w:t> </w:t>
      </w:r>
      <w:r>
        <w:rPr/>
        <w:t>prepared</w:t>
      </w:r>
      <w:r>
        <w:rPr>
          <w:spacing w:val="-8"/>
        </w:rPr>
        <w:t> </w:t>
      </w:r>
      <w:r>
        <w:rPr/>
        <w:t>with</w:t>
      </w:r>
      <w:r>
        <w:rPr>
          <w:spacing w:val="-4"/>
        </w:rPr>
        <w:t> </w:t>
      </w:r>
      <w:r>
        <w:rPr/>
        <w:t>low </w:t>
      </w:r>
      <w:r>
        <w:rPr>
          <w:i/>
        </w:rPr>
        <w:t>L</w:t>
      </w:r>
      <w:r>
        <w:rPr/>
        <w:t>/</w:t>
      </w:r>
      <w:r>
        <w:rPr>
          <w:i/>
        </w:rPr>
        <w:t>D</w:t>
      </w:r>
      <w:r>
        <w:rPr>
          <w:i/>
          <w:spacing w:val="-4"/>
        </w:rPr>
        <w:t> </w:t>
      </w:r>
      <w:r>
        <w:rPr/>
        <w:t>ratios</w:t>
      </w:r>
      <w:r>
        <w:rPr>
          <w:spacing w:val="-2"/>
        </w:rPr>
        <w:t> </w:t>
      </w:r>
      <w:r>
        <w:rPr/>
        <w:t>may</w:t>
      </w:r>
      <w:r>
        <w:rPr>
          <w:spacing w:val="-8"/>
        </w:rPr>
        <w:t> </w:t>
      </w:r>
      <w:r>
        <w:rPr/>
        <w:t>have</w:t>
      </w:r>
      <w:r>
        <w:rPr>
          <w:spacing w:val="-4"/>
        </w:rPr>
        <w:t> </w:t>
      </w:r>
      <w:r>
        <w:rPr/>
        <w:t>apparently</w:t>
      </w:r>
      <w:r>
        <w:rPr>
          <w:spacing w:val="-8"/>
        </w:rPr>
        <w:t> </w:t>
      </w:r>
      <w:r>
        <w:rPr/>
        <w:t>increased</w:t>
      </w:r>
      <w:r>
        <w:rPr>
          <w:spacing w:val="-4"/>
        </w:rPr>
        <w:t> </w:t>
      </w:r>
      <w:r>
        <w:rPr/>
        <w:t>strengths</w:t>
      </w:r>
      <w:r>
        <w:rPr>
          <w:spacing w:val="-5"/>
        </w:rPr>
        <w:t> </w:t>
      </w:r>
      <w:r>
        <w:rPr/>
        <w:t>caused by</w:t>
      </w:r>
      <w:r>
        <w:rPr>
          <w:spacing w:val="-2"/>
        </w:rPr>
        <w:t> </w:t>
      </w:r>
      <w:r>
        <w:rPr/>
        <w:t>the friction at the interface between the specimen ends and the input and output bars. Based on</w:t>
      </w:r>
      <w:r>
        <w:rPr>
          <w:spacing w:val="-7"/>
        </w:rPr>
        <w:t> </w:t>
      </w:r>
      <w:r>
        <w:rPr/>
        <w:t>these considerations, the LWCC specimens were prepared</w:t>
      </w:r>
      <w:r>
        <w:rPr>
          <w:spacing w:val="-2"/>
        </w:rPr>
        <w:t> </w:t>
      </w:r>
      <w:r>
        <w:rPr/>
        <w:t>to have 12 mm</w:t>
      </w:r>
      <w:r>
        <w:rPr>
          <w:spacing w:val="-2"/>
        </w:rPr>
        <w:t> </w:t>
      </w:r>
      <w:r>
        <w:rPr/>
        <w:t>in</w:t>
      </w:r>
      <w:r>
        <w:rPr>
          <w:spacing w:val="-2"/>
        </w:rPr>
        <w:t> </w:t>
      </w:r>
      <w:r>
        <w:rPr/>
        <w:t>diameter and 12 mm in length (</w:t>
      </w:r>
      <w:r>
        <w:rPr>
          <w:i/>
        </w:rPr>
        <w:t>L</w:t>
      </w:r>
      <w:r>
        <w:rPr/>
        <w:t>/</w:t>
      </w:r>
      <w:r>
        <w:rPr>
          <w:i/>
        </w:rPr>
        <w:t>D</w:t>
      </w:r>
      <w:r>
        <w:rPr/>
        <w:t>=1).</w:t>
      </w:r>
    </w:p>
    <w:p>
      <w:pPr>
        <w:pStyle w:val="BodyText"/>
        <w:ind w:right="391" w:firstLine="360"/>
      </w:pPr>
      <w:r>
        <w:rPr/>
        <w:t>Figure 8 (a) presents the dynamic stress-strain curves of specimens tested under different strain rates. The compressive stresses rise to the maximum values followed by</w:t>
      </w:r>
      <w:r>
        <w:rPr>
          <w:spacing w:val="-1"/>
        </w:rPr>
        <w:t> </w:t>
      </w:r>
      <w:r>
        <w:rPr/>
        <w:t>a sharp drop featuring</w:t>
      </w:r>
      <w:r>
        <w:rPr>
          <w:spacing w:val="-2"/>
        </w:rPr>
        <w:t> </w:t>
      </w:r>
      <w:r>
        <w:rPr/>
        <w:t>strain</w:t>
      </w:r>
      <w:r>
        <w:rPr>
          <w:spacing w:val="-6"/>
        </w:rPr>
        <w:t> </w:t>
      </w:r>
      <w:r>
        <w:rPr/>
        <w:t>softening</w:t>
      </w:r>
      <w:r>
        <w:rPr>
          <w:spacing w:val="-2"/>
        </w:rPr>
        <w:t> </w:t>
      </w:r>
      <w:r>
        <w:rPr/>
        <w:t>and</w:t>
      </w:r>
      <w:r>
        <w:rPr>
          <w:spacing w:val="-2"/>
        </w:rPr>
        <w:t> </w:t>
      </w:r>
      <w:r>
        <w:rPr/>
        <w:t>granular</w:t>
      </w:r>
      <w:r>
        <w:rPr>
          <w:spacing w:val="-1"/>
        </w:rPr>
        <w:t> </w:t>
      </w:r>
      <w:r>
        <w:rPr/>
        <w:t>flow.</w:t>
      </w:r>
      <w:r>
        <w:rPr>
          <w:spacing w:val="-1"/>
        </w:rPr>
        <w:t> </w:t>
      </w:r>
      <w:r>
        <w:rPr/>
        <w:t>The</w:t>
      </w:r>
      <w:r>
        <w:rPr>
          <w:spacing w:val="-3"/>
        </w:rPr>
        <w:t> </w:t>
      </w:r>
      <w:r>
        <w:rPr/>
        <w:t>shapes</w:t>
      </w:r>
      <w:r>
        <w:rPr>
          <w:spacing w:val="-4"/>
        </w:rPr>
        <w:t> </w:t>
      </w:r>
      <w:r>
        <w:rPr/>
        <w:t>of</w:t>
      </w:r>
      <w:r>
        <w:rPr>
          <w:spacing w:val="-9"/>
        </w:rPr>
        <w:t> </w:t>
      </w:r>
      <w:r>
        <w:rPr/>
        <w:t>the</w:t>
      </w:r>
      <w:r>
        <w:rPr>
          <w:spacing w:val="-3"/>
        </w:rPr>
        <w:t> </w:t>
      </w:r>
      <w:r>
        <w:rPr/>
        <w:t>stress-strain</w:t>
      </w:r>
      <w:r>
        <w:rPr>
          <w:spacing w:val="-6"/>
        </w:rPr>
        <w:t> </w:t>
      </w:r>
      <w:r>
        <w:rPr/>
        <w:t>curves</w:t>
      </w:r>
      <w:r>
        <w:rPr>
          <w:spacing w:val="-4"/>
        </w:rPr>
        <w:t> </w:t>
      </w:r>
      <w:r>
        <w:rPr/>
        <w:t>tested</w:t>
      </w:r>
      <w:r>
        <w:rPr>
          <w:spacing w:val="-6"/>
        </w:rPr>
        <w:t> </w:t>
      </w:r>
      <w:r>
        <w:rPr/>
        <w:t>under</w:t>
      </w:r>
    </w:p>
    <w:p>
      <w:pPr>
        <w:pStyle w:val="BodyText"/>
        <w:spacing w:after="0"/>
        <w:sectPr>
          <w:type w:val="continuous"/>
          <w:pgSz w:w="12240" w:h="15840"/>
          <w:pgMar w:header="720" w:footer="746" w:top="1340" w:bottom="940" w:left="1440" w:right="1080"/>
        </w:sectPr>
      </w:pPr>
    </w:p>
    <w:p>
      <w:pPr>
        <w:pStyle w:val="BodyText"/>
        <w:spacing w:before="80"/>
        <w:ind w:right="322"/>
      </w:pPr>
      <w:r>
        <w:rPr/>
        <mc:AlternateContent>
          <mc:Choice Requires="wps">
            <w:drawing>
              <wp:anchor distT="0" distB="0" distL="0" distR="0" allowOverlap="1" layoutInCell="1" locked="0" behindDoc="0" simplePos="0" relativeHeight="15742464">
                <wp:simplePos x="0" y="0"/>
                <wp:positionH relativeFrom="page">
                  <wp:posOffset>-1637</wp:posOffset>
                </wp:positionH>
                <wp:positionV relativeFrom="page">
                  <wp:posOffset>2272607</wp:posOffset>
                </wp:positionV>
                <wp:extent cx="138430" cy="551370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42464" type="#_x0000_t202" id="docshape29"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different rates are similar while the compressive strength of LWCCs is strain-rate sensitive, see Figure 8 (b) – i.e., the compressive strength of the same material tested under quasi-static condition is 22.97 MPa. At the strain rate of 400 s</w:t>
      </w:r>
      <w:r>
        <w:rPr>
          <w:vertAlign w:val="superscript"/>
        </w:rPr>
        <w:t>-1</w:t>
      </w:r>
      <w:r>
        <w:rPr>
          <w:vertAlign w:val="baseline"/>
        </w:rPr>
        <w:t>, the dynamic compressive strength is 32.2 MPa which is about 40% higher than quasi-static strength. As the strain rate increases, the maximum stress increases where the dynamic strength are 48.5% and 66.7% higher than static strength for strain rates of 600 s</w:t>
      </w:r>
      <w:r>
        <w:rPr>
          <w:vertAlign w:val="superscript"/>
        </w:rPr>
        <w:t>-1</w:t>
      </w:r>
      <w:r>
        <w:rPr>
          <w:vertAlign w:val="baseline"/>
        </w:rPr>
        <w:t> and 920 s</w:t>
      </w:r>
      <w:r>
        <w:rPr>
          <w:vertAlign w:val="superscript"/>
        </w:rPr>
        <w:t>-1</w:t>
      </w:r>
      <w:r>
        <w:rPr>
          <w:vertAlign w:val="baseline"/>
        </w:rPr>
        <w:t>, respectively. The crack propagation of LWCC under impact loading</w:t>
      </w:r>
      <w:r>
        <w:rPr>
          <w:spacing w:val="-4"/>
          <w:vertAlign w:val="baseline"/>
        </w:rPr>
        <w:t> </w:t>
      </w:r>
      <w:r>
        <w:rPr>
          <w:vertAlign w:val="baseline"/>
        </w:rPr>
        <w:t>(400</w:t>
      </w:r>
      <w:r>
        <w:rPr>
          <w:spacing w:val="-4"/>
          <w:vertAlign w:val="baseline"/>
        </w:rPr>
        <w:t> </w:t>
      </w:r>
      <w:r>
        <w:rPr>
          <w:vertAlign w:val="baseline"/>
        </w:rPr>
        <w:t>s</w:t>
      </w:r>
      <w:r>
        <w:rPr>
          <w:vertAlign w:val="superscript"/>
        </w:rPr>
        <w:t>-1</w:t>
      </w:r>
      <w:r>
        <w:rPr>
          <w:vertAlign w:val="baseline"/>
        </w:rPr>
        <w:t>) is</w:t>
      </w:r>
      <w:r>
        <w:rPr>
          <w:spacing w:val="-6"/>
          <w:vertAlign w:val="baseline"/>
        </w:rPr>
        <w:t> </w:t>
      </w:r>
      <w:r>
        <w:rPr>
          <w:vertAlign w:val="baseline"/>
        </w:rPr>
        <w:t>recorded</w:t>
      </w:r>
      <w:r>
        <w:rPr>
          <w:spacing w:val="-4"/>
          <w:vertAlign w:val="baseline"/>
        </w:rPr>
        <w:t> </w:t>
      </w:r>
      <w:r>
        <w:rPr>
          <w:vertAlign w:val="baseline"/>
        </w:rPr>
        <w:t>using</w:t>
      </w:r>
      <w:r>
        <w:rPr>
          <w:spacing w:val="-4"/>
          <w:vertAlign w:val="baseline"/>
        </w:rPr>
        <w:t> </w:t>
      </w:r>
      <w:r>
        <w:rPr>
          <w:vertAlign w:val="baseline"/>
        </w:rPr>
        <w:t>a</w:t>
      </w:r>
      <w:r>
        <w:rPr>
          <w:spacing w:val="-1"/>
          <w:vertAlign w:val="baseline"/>
        </w:rPr>
        <w:t> </w:t>
      </w:r>
      <w:r>
        <w:rPr>
          <w:vertAlign w:val="baseline"/>
        </w:rPr>
        <w:t>high-speed</w:t>
      </w:r>
      <w:r>
        <w:rPr>
          <w:spacing w:val="-4"/>
          <w:vertAlign w:val="baseline"/>
        </w:rPr>
        <w:t> </w:t>
      </w:r>
      <w:r>
        <w:rPr>
          <w:vertAlign w:val="baseline"/>
        </w:rPr>
        <w:t>camera</w:t>
      </w:r>
      <w:r>
        <w:rPr>
          <w:spacing w:val="-5"/>
          <w:vertAlign w:val="baseline"/>
        </w:rPr>
        <w:t> </w:t>
      </w:r>
      <w:r>
        <w:rPr>
          <w:vertAlign w:val="baseline"/>
        </w:rPr>
        <w:t>and</w:t>
      </w:r>
      <w:r>
        <w:rPr>
          <w:spacing w:val="-1"/>
          <w:vertAlign w:val="baseline"/>
        </w:rPr>
        <w:t> </w:t>
      </w:r>
      <w:r>
        <w:rPr>
          <w:vertAlign w:val="baseline"/>
        </w:rPr>
        <w:t>is</w:t>
      </w:r>
      <w:r>
        <w:rPr>
          <w:spacing w:val="-6"/>
          <w:vertAlign w:val="baseline"/>
        </w:rPr>
        <w:t> </w:t>
      </w:r>
      <w:r>
        <w:rPr>
          <w:vertAlign w:val="baseline"/>
        </w:rPr>
        <w:t>presented</w:t>
      </w:r>
      <w:r>
        <w:rPr>
          <w:spacing w:val="-4"/>
          <w:vertAlign w:val="baseline"/>
        </w:rPr>
        <w:t> </w:t>
      </w:r>
      <w:r>
        <w:rPr>
          <w:vertAlign w:val="baseline"/>
        </w:rPr>
        <w:t>in</w:t>
      </w:r>
      <w:r>
        <w:rPr>
          <w:spacing w:val="-9"/>
          <w:vertAlign w:val="baseline"/>
        </w:rPr>
        <w:t> </w:t>
      </w:r>
      <w:r>
        <w:rPr>
          <w:vertAlign w:val="baseline"/>
        </w:rPr>
        <w:t>Figure</w:t>
      </w:r>
      <w:r>
        <w:rPr>
          <w:spacing w:val="-5"/>
          <w:vertAlign w:val="baseline"/>
        </w:rPr>
        <w:t> </w:t>
      </w:r>
      <w:r>
        <w:rPr>
          <w:vertAlign w:val="baseline"/>
        </w:rPr>
        <w:t>8 </w:t>
      </w:r>
      <w:r>
        <w:rPr>
          <w:spacing w:val="-4"/>
          <w:vertAlign w:val="baseline"/>
        </w:rPr>
        <w:t>(c).</w:t>
      </w:r>
    </w:p>
    <w:p>
      <w:pPr>
        <w:pStyle w:val="BodyText"/>
        <w:spacing w:before="10"/>
        <w:rPr>
          <w:sz w:val="15"/>
        </w:rPr>
      </w:pPr>
      <w:r>
        <w:rPr>
          <w:sz w:val="15"/>
        </w:rPr>
        <w:drawing>
          <wp:anchor distT="0" distB="0" distL="0" distR="0" allowOverlap="1" layoutInCell="1" locked="0" behindDoc="1" simplePos="0" relativeHeight="487601152">
            <wp:simplePos x="0" y="0"/>
            <wp:positionH relativeFrom="page">
              <wp:posOffset>1285875</wp:posOffset>
            </wp:positionH>
            <wp:positionV relativeFrom="paragraph">
              <wp:posOffset>131118</wp:posOffset>
            </wp:positionV>
            <wp:extent cx="5238606" cy="3612641"/>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8" cstate="print"/>
                    <a:stretch>
                      <a:fillRect/>
                    </a:stretch>
                  </pic:blipFill>
                  <pic:spPr>
                    <a:xfrm>
                      <a:off x="0" y="0"/>
                      <a:ext cx="5238606" cy="3612641"/>
                    </a:xfrm>
                    <a:prstGeom prst="rect">
                      <a:avLst/>
                    </a:prstGeom>
                  </pic:spPr>
                </pic:pic>
              </a:graphicData>
            </a:graphic>
          </wp:anchor>
        </w:drawing>
      </w:r>
    </w:p>
    <w:p>
      <w:pPr>
        <w:spacing w:line="240" w:lineRule="auto" w:before="0"/>
        <w:ind w:left="0" w:right="363" w:firstLine="0"/>
        <w:jc w:val="center"/>
        <w:rPr>
          <w:b/>
          <w:sz w:val="24"/>
        </w:rPr>
      </w:pPr>
      <w:r>
        <w:rPr>
          <w:b/>
          <w:sz w:val="24"/>
        </w:rPr>
        <w:t>Figure 8. Dynamic behavior of LWCC tested using SHPB: (a) stress-strain curves; (b) dynamic</w:t>
      </w:r>
      <w:r>
        <w:rPr>
          <w:b/>
          <w:spacing w:val="-4"/>
          <w:sz w:val="24"/>
        </w:rPr>
        <w:t> </w:t>
      </w:r>
      <w:r>
        <w:rPr>
          <w:b/>
          <w:sz w:val="24"/>
        </w:rPr>
        <w:t>compressive</w:t>
      </w:r>
      <w:r>
        <w:rPr>
          <w:b/>
          <w:spacing w:val="-4"/>
          <w:sz w:val="24"/>
        </w:rPr>
        <w:t> </w:t>
      </w:r>
      <w:r>
        <w:rPr>
          <w:b/>
          <w:sz w:val="24"/>
        </w:rPr>
        <w:t>strength</w:t>
      </w:r>
      <w:r>
        <w:rPr>
          <w:b/>
          <w:spacing w:val="-3"/>
          <w:sz w:val="24"/>
        </w:rPr>
        <w:t> </w:t>
      </w:r>
      <w:r>
        <w:rPr>
          <w:b/>
          <w:sz w:val="24"/>
        </w:rPr>
        <w:t>as</w:t>
      </w:r>
      <w:r>
        <w:rPr>
          <w:b/>
          <w:spacing w:val="-5"/>
          <w:sz w:val="24"/>
        </w:rPr>
        <w:t> </w:t>
      </w:r>
      <w:r>
        <w:rPr>
          <w:b/>
          <w:sz w:val="24"/>
        </w:rPr>
        <w:t>a</w:t>
      </w:r>
      <w:r>
        <w:rPr>
          <w:b/>
          <w:spacing w:val="-3"/>
          <w:sz w:val="24"/>
        </w:rPr>
        <w:t> </w:t>
      </w:r>
      <w:r>
        <w:rPr>
          <w:b/>
          <w:sz w:val="24"/>
        </w:rPr>
        <w:t>function</w:t>
      </w:r>
      <w:r>
        <w:rPr>
          <w:b/>
          <w:spacing w:val="-7"/>
          <w:sz w:val="24"/>
        </w:rPr>
        <w:t> </w:t>
      </w:r>
      <w:r>
        <w:rPr>
          <w:b/>
          <w:sz w:val="24"/>
        </w:rPr>
        <w:t>of</w:t>
      </w:r>
      <w:r>
        <w:rPr>
          <w:b/>
          <w:spacing w:val="-6"/>
          <w:sz w:val="24"/>
        </w:rPr>
        <w:t> </w:t>
      </w:r>
      <w:r>
        <w:rPr>
          <w:b/>
          <w:sz w:val="24"/>
        </w:rPr>
        <w:t>strain</w:t>
      </w:r>
      <w:r>
        <w:rPr>
          <w:b/>
          <w:spacing w:val="-3"/>
          <w:sz w:val="24"/>
        </w:rPr>
        <w:t> </w:t>
      </w:r>
      <w:r>
        <w:rPr>
          <w:b/>
          <w:sz w:val="24"/>
        </w:rPr>
        <w:t>rate;</w:t>
      </w:r>
      <w:r>
        <w:rPr>
          <w:b/>
          <w:spacing w:val="-3"/>
          <w:sz w:val="24"/>
        </w:rPr>
        <w:t> </w:t>
      </w:r>
      <w:r>
        <w:rPr>
          <w:b/>
          <w:sz w:val="24"/>
        </w:rPr>
        <w:t>and</w:t>
      </w:r>
      <w:r>
        <w:rPr>
          <w:b/>
          <w:spacing w:val="-3"/>
          <w:sz w:val="24"/>
        </w:rPr>
        <w:t> </w:t>
      </w:r>
      <w:r>
        <w:rPr>
          <w:b/>
          <w:sz w:val="24"/>
        </w:rPr>
        <w:t>(c)</w:t>
      </w:r>
      <w:r>
        <w:rPr>
          <w:b/>
          <w:spacing w:val="-6"/>
          <w:sz w:val="24"/>
        </w:rPr>
        <w:t> </w:t>
      </w:r>
      <w:r>
        <w:rPr>
          <w:b/>
          <w:sz w:val="24"/>
        </w:rPr>
        <w:t>propagation</w:t>
      </w:r>
      <w:r>
        <w:rPr>
          <w:b/>
          <w:spacing w:val="-3"/>
          <w:sz w:val="24"/>
        </w:rPr>
        <w:t> </w:t>
      </w:r>
      <w:r>
        <w:rPr>
          <w:b/>
          <w:sz w:val="24"/>
        </w:rPr>
        <w:t>of</w:t>
      </w:r>
      <w:r>
        <w:rPr>
          <w:b/>
          <w:spacing w:val="-6"/>
          <w:sz w:val="24"/>
        </w:rPr>
        <w:t> </w:t>
      </w:r>
      <w:r>
        <w:rPr>
          <w:b/>
          <w:sz w:val="24"/>
        </w:rPr>
        <w:t>stress cracks within LWCC under impact.</w:t>
      </w:r>
    </w:p>
    <w:p>
      <w:pPr>
        <w:pStyle w:val="Heading1"/>
        <w:spacing w:before="162"/>
      </w:pPr>
      <w:r>
        <w:rPr>
          <w:spacing w:val="-2"/>
        </w:rPr>
        <w:t>CONCLUSIONS</w:t>
      </w:r>
    </w:p>
    <w:p>
      <w:pPr>
        <w:pStyle w:val="BodyText"/>
        <w:spacing w:before="190"/>
        <w:ind w:right="391" w:firstLine="360"/>
      </w:pPr>
      <w:r>
        <w:rPr/>
        <w:t>A comprehensive study on lightweight cementitious composites (LWCC) incorporating various types of lightweight filler (LWF) materials (i.e., hollow glass microspheres (HGM) and fly ash cenospheres (FAC)) was conducted to evaluate the influence of LWFs and their corresponding particle properties on both the mechanical and thermophysical properties of LWCC.</w:t>
      </w:r>
      <w:r>
        <w:rPr>
          <w:spacing w:val="-1"/>
        </w:rPr>
        <w:t> </w:t>
      </w:r>
      <w:r>
        <w:rPr/>
        <w:t>The microstructural</w:t>
      </w:r>
      <w:r>
        <w:rPr>
          <w:spacing w:val="-11"/>
        </w:rPr>
        <w:t> </w:t>
      </w:r>
      <w:r>
        <w:rPr/>
        <w:t>properties</w:t>
      </w:r>
      <w:r>
        <w:rPr>
          <w:spacing w:val="-5"/>
        </w:rPr>
        <w:t> </w:t>
      </w:r>
      <w:r>
        <w:rPr/>
        <w:t>were</w:t>
      </w:r>
      <w:r>
        <w:rPr>
          <w:spacing w:val="-4"/>
        </w:rPr>
        <w:t> </w:t>
      </w:r>
      <w:r>
        <w:rPr/>
        <w:t>analyzed</w:t>
      </w:r>
      <w:r>
        <w:rPr>
          <w:spacing w:val="-3"/>
        </w:rPr>
        <w:t> </w:t>
      </w:r>
      <w:r>
        <w:rPr/>
        <w:t>and</w:t>
      </w:r>
      <w:r>
        <w:rPr>
          <w:spacing w:val="-3"/>
        </w:rPr>
        <w:t> </w:t>
      </w:r>
      <w:r>
        <w:rPr/>
        <w:t>key</w:t>
      </w:r>
      <w:r>
        <w:rPr>
          <w:spacing w:val="-12"/>
        </w:rPr>
        <w:t> </w:t>
      </w:r>
      <w:r>
        <w:rPr/>
        <w:t>parameters</w:t>
      </w:r>
      <w:r>
        <w:rPr>
          <w:spacing w:val="-5"/>
        </w:rPr>
        <w:t> </w:t>
      </w:r>
      <w:r>
        <w:rPr/>
        <w:t>governing</w:t>
      </w:r>
      <w:r>
        <w:rPr>
          <w:spacing w:val="-3"/>
        </w:rPr>
        <w:t> </w:t>
      </w:r>
      <w:r>
        <w:rPr/>
        <w:t>thermal</w:t>
      </w:r>
      <w:r>
        <w:rPr>
          <w:spacing w:val="-8"/>
        </w:rPr>
        <w:t> </w:t>
      </w:r>
      <w:r>
        <w:rPr/>
        <w:t>and mechanical properties of the material are discussed. Lastly, the behavior of LWCC under dynamic compressive loading is examined using Split Hopkinson Pressure Bar (SHPB) tests.</w:t>
      </w:r>
    </w:p>
    <w:p>
      <w:pPr>
        <w:pStyle w:val="BodyText"/>
        <w:spacing w:line="276" w:lineRule="exact" w:before="3"/>
      </w:pPr>
      <w:r>
        <w:rPr/>
        <w:t>The</w:t>
      </w:r>
      <w:r>
        <w:rPr>
          <w:spacing w:val="2"/>
        </w:rPr>
        <w:t> </w:t>
      </w:r>
      <w:r>
        <w:rPr/>
        <w:t>following</w:t>
      </w:r>
      <w:r>
        <w:rPr>
          <w:spacing w:val="-1"/>
        </w:rPr>
        <w:t> </w:t>
      </w:r>
      <w:r>
        <w:rPr/>
        <w:t>conclusions</w:t>
      </w:r>
      <w:r>
        <w:rPr>
          <w:spacing w:val="1"/>
        </w:rPr>
        <w:t> </w:t>
      </w:r>
      <w:r>
        <w:rPr/>
        <w:t>are</w:t>
      </w:r>
      <w:r>
        <w:rPr>
          <w:spacing w:val="-2"/>
        </w:rPr>
        <w:t> </w:t>
      </w:r>
      <w:r>
        <w:rPr/>
        <w:t>drawn</w:t>
      </w:r>
      <w:r>
        <w:rPr>
          <w:spacing w:val="-3"/>
        </w:rPr>
        <w:t> </w:t>
      </w:r>
      <w:r>
        <w:rPr/>
        <w:t>from</w:t>
      </w:r>
      <w:r>
        <w:rPr>
          <w:spacing w:val="-8"/>
        </w:rPr>
        <w:t> </w:t>
      </w:r>
      <w:r>
        <w:rPr/>
        <w:t>this</w:t>
      </w:r>
      <w:r>
        <w:rPr>
          <w:spacing w:val="-3"/>
        </w:rPr>
        <w:t> </w:t>
      </w:r>
      <w:r>
        <w:rPr>
          <w:spacing w:val="-2"/>
        </w:rPr>
        <w:t>study:</w:t>
      </w:r>
    </w:p>
    <w:p>
      <w:pPr>
        <w:pStyle w:val="ListParagraph"/>
        <w:numPr>
          <w:ilvl w:val="0"/>
          <w:numId w:val="1"/>
        </w:numPr>
        <w:tabs>
          <w:tab w:pos="721" w:val="left" w:leader="none"/>
        </w:tabs>
        <w:spacing w:line="240" w:lineRule="auto" w:before="0" w:after="0"/>
        <w:ind w:left="721" w:right="396" w:hanging="361"/>
        <w:jc w:val="both"/>
        <w:rPr>
          <w:sz w:val="24"/>
        </w:rPr>
      </w:pPr>
      <w:r>
        <w:rPr>
          <w:sz w:val="24"/>
        </w:rPr>
        <w:t>The thermal properties (i.e., thermal conductivity and specific heat capacity) of LWCCs are primarily</w:t>
      </w:r>
      <w:r>
        <w:rPr>
          <w:spacing w:val="-5"/>
          <w:sz w:val="24"/>
        </w:rPr>
        <w:t> </w:t>
      </w:r>
      <w:r>
        <w:rPr>
          <w:sz w:val="24"/>
        </w:rPr>
        <w:t>dictated by</w:t>
      </w:r>
      <w:r>
        <w:rPr>
          <w:spacing w:val="-5"/>
          <w:sz w:val="24"/>
        </w:rPr>
        <w:t> </w:t>
      </w:r>
      <w:r>
        <w:rPr>
          <w:sz w:val="24"/>
        </w:rPr>
        <w:t>the volume fraction of</w:t>
      </w:r>
      <w:r>
        <w:rPr>
          <w:spacing w:val="-3"/>
          <w:sz w:val="24"/>
        </w:rPr>
        <w:t> </w:t>
      </w:r>
      <w:r>
        <w:rPr>
          <w:sz w:val="24"/>
        </w:rPr>
        <w:t>LWF and they</w:t>
      </w:r>
      <w:r>
        <w:rPr>
          <w:spacing w:val="-5"/>
          <w:sz w:val="24"/>
        </w:rPr>
        <w:t> </w:t>
      </w:r>
      <w:r>
        <w:rPr>
          <w:sz w:val="24"/>
        </w:rPr>
        <w:t>are insensitive to the</w:t>
      </w:r>
      <w:r>
        <w:rPr>
          <w:spacing w:val="-1"/>
          <w:sz w:val="24"/>
        </w:rPr>
        <w:t> </w:t>
      </w:r>
      <w:r>
        <w:rPr>
          <w:sz w:val="24"/>
        </w:rPr>
        <w:t>type of</w:t>
      </w:r>
      <w:r>
        <w:rPr>
          <w:spacing w:val="-6"/>
          <w:sz w:val="24"/>
        </w:rPr>
        <w:t> </w:t>
      </w:r>
      <w:r>
        <w:rPr>
          <w:sz w:val="24"/>
        </w:rPr>
        <w:t>LWF</w:t>
      </w:r>
      <w:r>
        <w:rPr>
          <w:spacing w:val="-2"/>
          <w:sz w:val="24"/>
        </w:rPr>
        <w:t> </w:t>
      </w:r>
      <w:r>
        <w:rPr>
          <w:sz w:val="24"/>
        </w:rPr>
        <w:t>used;</w:t>
      </w:r>
      <w:r>
        <w:rPr>
          <w:spacing w:val="-3"/>
          <w:sz w:val="24"/>
        </w:rPr>
        <w:t> </w:t>
      </w:r>
      <w:r>
        <w:rPr>
          <w:sz w:val="24"/>
        </w:rPr>
        <w:t>on</w:t>
      </w:r>
      <w:r>
        <w:rPr>
          <w:spacing w:val="-3"/>
          <w:sz w:val="24"/>
        </w:rPr>
        <w:t> </w:t>
      </w:r>
      <w:r>
        <w:rPr>
          <w:sz w:val="24"/>
        </w:rPr>
        <w:t>the</w:t>
      </w:r>
      <w:r>
        <w:rPr>
          <w:spacing w:val="-4"/>
          <w:sz w:val="24"/>
        </w:rPr>
        <w:t> </w:t>
      </w:r>
      <w:r>
        <w:rPr>
          <w:sz w:val="24"/>
        </w:rPr>
        <w:t>other hand, the mechanical</w:t>
      </w:r>
      <w:r>
        <w:rPr>
          <w:spacing w:val="-7"/>
          <w:sz w:val="24"/>
        </w:rPr>
        <w:t> </w:t>
      </w:r>
      <w:r>
        <w:rPr>
          <w:sz w:val="24"/>
        </w:rPr>
        <w:t>properties of</w:t>
      </w:r>
      <w:r>
        <w:rPr>
          <w:spacing w:val="-6"/>
          <w:sz w:val="24"/>
        </w:rPr>
        <w:t> </w:t>
      </w:r>
      <w:r>
        <w:rPr>
          <w:sz w:val="24"/>
        </w:rPr>
        <w:t>LWCC are greatly</w:t>
      </w:r>
      <w:r>
        <w:rPr>
          <w:spacing w:val="-3"/>
          <w:sz w:val="24"/>
        </w:rPr>
        <w:t> </w:t>
      </w:r>
      <w:r>
        <w:rPr>
          <w:sz w:val="24"/>
        </w:rPr>
        <w:t>affected by</w:t>
      </w:r>
      <w:r>
        <w:rPr>
          <w:spacing w:val="-12"/>
          <w:sz w:val="24"/>
        </w:rPr>
        <w:t> </w:t>
      </w:r>
      <w:r>
        <w:rPr>
          <w:sz w:val="24"/>
        </w:rPr>
        <w:t>the</w:t>
      </w:r>
      <w:r>
        <w:rPr>
          <w:spacing w:val="-4"/>
          <w:sz w:val="24"/>
        </w:rPr>
        <w:t> </w:t>
      </w:r>
      <w:r>
        <w:rPr>
          <w:sz w:val="24"/>
        </w:rPr>
        <w:t>LWF</w:t>
      </w:r>
      <w:r>
        <w:rPr>
          <w:spacing w:val="-7"/>
          <w:sz w:val="24"/>
        </w:rPr>
        <w:t> </w:t>
      </w:r>
      <w:r>
        <w:rPr>
          <w:sz w:val="24"/>
        </w:rPr>
        <w:t>particle</w:t>
      </w:r>
      <w:r>
        <w:rPr>
          <w:spacing w:val="-4"/>
          <w:sz w:val="24"/>
        </w:rPr>
        <w:t> </w:t>
      </w:r>
      <w:r>
        <w:rPr>
          <w:sz w:val="24"/>
        </w:rPr>
        <w:t>properties</w:t>
      </w:r>
      <w:r>
        <w:rPr>
          <w:spacing w:val="-1"/>
          <w:sz w:val="24"/>
        </w:rPr>
        <w:t> </w:t>
      </w:r>
      <w:r>
        <w:rPr>
          <w:sz w:val="24"/>
        </w:rPr>
        <w:t>including</w:t>
      </w:r>
      <w:r>
        <w:rPr>
          <w:spacing w:val="-3"/>
          <w:sz w:val="24"/>
        </w:rPr>
        <w:t> </w:t>
      </w:r>
      <w:r>
        <w:rPr>
          <w:sz w:val="24"/>
        </w:rPr>
        <w:t>the</w:t>
      </w:r>
      <w:r>
        <w:rPr>
          <w:spacing w:val="-4"/>
          <w:sz w:val="24"/>
        </w:rPr>
        <w:t> </w:t>
      </w:r>
      <w:r>
        <w:rPr>
          <w:sz w:val="24"/>
        </w:rPr>
        <w:t>size,</w:t>
      </w:r>
      <w:r>
        <w:rPr>
          <w:spacing w:val="-1"/>
          <w:sz w:val="24"/>
        </w:rPr>
        <w:t> </w:t>
      </w:r>
      <w:r>
        <w:rPr>
          <w:sz w:val="24"/>
        </w:rPr>
        <w:t>shell</w:t>
      </w:r>
      <w:r>
        <w:rPr>
          <w:spacing w:val="-8"/>
          <w:sz w:val="24"/>
        </w:rPr>
        <w:t> </w:t>
      </w:r>
      <w:r>
        <w:rPr>
          <w:sz w:val="24"/>
        </w:rPr>
        <w:t>thickness</w:t>
      </w:r>
      <w:r>
        <w:rPr>
          <w:spacing w:val="-5"/>
          <w:sz w:val="24"/>
        </w:rPr>
        <w:t> </w:t>
      </w:r>
      <w:r>
        <w:rPr>
          <w:sz w:val="24"/>
        </w:rPr>
        <w:t>(stiffness),</w:t>
      </w:r>
      <w:r>
        <w:rPr>
          <w:spacing w:val="-1"/>
          <w:sz w:val="24"/>
        </w:rPr>
        <w:t> </w:t>
      </w:r>
      <w:r>
        <w:rPr>
          <w:sz w:val="24"/>
        </w:rPr>
        <w:t>and</w:t>
      </w:r>
      <w:r>
        <w:rPr>
          <w:spacing w:val="-3"/>
          <w:sz w:val="24"/>
        </w:rPr>
        <w:t> </w:t>
      </w:r>
      <w:r>
        <w:rPr>
          <w:sz w:val="24"/>
        </w:rPr>
        <w:t>crushing</w:t>
      </w:r>
    </w:p>
    <w:p>
      <w:pPr>
        <w:pStyle w:val="ListParagraph"/>
        <w:spacing w:after="0" w:line="240" w:lineRule="auto"/>
        <w:jc w:val="both"/>
        <w:rPr>
          <w:sz w:val="24"/>
        </w:rPr>
        <w:sectPr>
          <w:pgSz w:w="12240" w:h="15840"/>
          <w:pgMar w:header="720" w:footer="746" w:top="1340" w:bottom="940" w:left="1440" w:right="1080"/>
        </w:sectPr>
      </w:pPr>
    </w:p>
    <w:p>
      <w:pPr>
        <w:pStyle w:val="BodyText"/>
        <w:spacing w:line="276" w:lineRule="exact" w:before="80"/>
        <w:ind w:left="721"/>
      </w:pPr>
      <w:r>
        <w:rPr/>
        <mc:AlternateContent>
          <mc:Choice Requires="wps">
            <w:drawing>
              <wp:anchor distT="0" distB="0" distL="0" distR="0" allowOverlap="1" layoutInCell="1" locked="0" behindDoc="0" simplePos="0" relativeHeight="15742976">
                <wp:simplePos x="0" y="0"/>
                <wp:positionH relativeFrom="page">
                  <wp:posOffset>-1637</wp:posOffset>
                </wp:positionH>
                <wp:positionV relativeFrom="page">
                  <wp:posOffset>2272607</wp:posOffset>
                </wp:positionV>
                <wp:extent cx="138430" cy="551370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42976" type="#_x0000_t202" id="docshape30"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strength</w:t>
      </w:r>
      <w:r>
        <w:rPr>
          <w:spacing w:val="-2"/>
        </w:rPr>
        <w:t> </w:t>
      </w:r>
      <w:r>
        <w:rPr/>
        <w:t>of</w:t>
      </w:r>
      <w:r>
        <w:rPr>
          <w:spacing w:val="-4"/>
        </w:rPr>
        <w:t> </w:t>
      </w:r>
      <w:r>
        <w:rPr/>
        <w:t>the</w:t>
      </w:r>
      <w:r>
        <w:rPr>
          <w:spacing w:val="4"/>
        </w:rPr>
        <w:t> </w:t>
      </w:r>
      <w:r>
        <w:rPr>
          <w:spacing w:val="-2"/>
        </w:rPr>
        <w:t>particles.</w:t>
      </w:r>
    </w:p>
    <w:p>
      <w:pPr>
        <w:pStyle w:val="ListParagraph"/>
        <w:numPr>
          <w:ilvl w:val="0"/>
          <w:numId w:val="1"/>
        </w:numPr>
        <w:tabs>
          <w:tab w:pos="721" w:val="left" w:leader="none"/>
        </w:tabs>
        <w:spacing w:line="240" w:lineRule="auto" w:before="0" w:after="0"/>
        <w:ind w:left="721" w:right="582" w:hanging="361"/>
        <w:jc w:val="left"/>
        <w:rPr>
          <w:sz w:val="24"/>
        </w:rPr>
      </w:pPr>
      <w:r>
        <w:rPr>
          <w:sz w:val="24"/>
        </w:rPr>
        <w:t>Because of the high strength-to-unit weight ratio, most fly ash cenospheres (FAC) and hollow glass microspheres (HGM) with higher density (e.g., S60) are suitable for producing lightweight cementitious composite (LWCC) materials that may be used for structural load bearing, as long as the LWF volume fraction is controlled within a reasonable range. Cautions should be taken when using large size FACs in the LWCC mixtures</w:t>
      </w:r>
      <w:r>
        <w:rPr>
          <w:spacing w:val="-4"/>
          <w:sz w:val="24"/>
        </w:rPr>
        <w:t> </w:t>
      </w:r>
      <w:r>
        <w:rPr>
          <w:sz w:val="24"/>
        </w:rPr>
        <w:t>(e.g.,</w:t>
      </w:r>
      <w:r>
        <w:rPr>
          <w:spacing w:val="-5"/>
          <w:sz w:val="24"/>
        </w:rPr>
        <w:t> </w:t>
      </w:r>
      <w:r>
        <w:rPr>
          <w:sz w:val="24"/>
        </w:rPr>
        <w:t>E200/600</w:t>
      </w:r>
      <w:r>
        <w:rPr>
          <w:spacing w:val="-7"/>
          <w:sz w:val="24"/>
        </w:rPr>
        <w:t> </w:t>
      </w:r>
      <w:r>
        <w:rPr>
          <w:sz w:val="24"/>
        </w:rPr>
        <w:t>studied in</w:t>
      </w:r>
      <w:r>
        <w:rPr>
          <w:spacing w:val="-7"/>
          <w:sz w:val="24"/>
        </w:rPr>
        <w:t> </w:t>
      </w:r>
      <w:r>
        <w:rPr>
          <w:sz w:val="24"/>
        </w:rPr>
        <w:t>this research),</w:t>
      </w:r>
      <w:r>
        <w:rPr>
          <w:spacing w:val="-5"/>
          <w:sz w:val="24"/>
        </w:rPr>
        <w:t> </w:t>
      </w:r>
      <w:r>
        <w:rPr>
          <w:sz w:val="24"/>
        </w:rPr>
        <w:t>as</w:t>
      </w:r>
      <w:r>
        <w:rPr>
          <w:spacing w:val="-4"/>
          <w:sz w:val="24"/>
        </w:rPr>
        <w:t> </w:t>
      </w:r>
      <w:r>
        <w:rPr>
          <w:sz w:val="24"/>
        </w:rPr>
        <w:t>their large</w:t>
      </w:r>
      <w:r>
        <w:rPr>
          <w:spacing w:val="-3"/>
          <w:sz w:val="24"/>
        </w:rPr>
        <w:t> </w:t>
      </w:r>
      <w:r>
        <w:rPr>
          <w:sz w:val="24"/>
        </w:rPr>
        <w:t>particle</w:t>
      </w:r>
      <w:r>
        <w:rPr>
          <w:spacing w:val="-3"/>
          <w:sz w:val="24"/>
        </w:rPr>
        <w:t> </w:t>
      </w:r>
      <w:r>
        <w:rPr>
          <w:sz w:val="24"/>
        </w:rPr>
        <w:t>size</w:t>
      </w:r>
      <w:r>
        <w:rPr>
          <w:spacing w:val="-3"/>
          <w:sz w:val="24"/>
        </w:rPr>
        <w:t> </w:t>
      </w:r>
      <w:r>
        <w:rPr>
          <w:sz w:val="24"/>
        </w:rPr>
        <w:t>(i.e., &gt;</w:t>
      </w:r>
      <w:r>
        <w:rPr>
          <w:spacing w:val="-3"/>
          <w:sz w:val="24"/>
        </w:rPr>
        <w:t> </w:t>
      </w:r>
      <w:r>
        <w:rPr>
          <w:sz w:val="24"/>
        </w:rPr>
        <w:t>500 μm) may</w:t>
      </w:r>
      <w:r>
        <w:rPr>
          <w:spacing w:val="-7"/>
          <w:sz w:val="24"/>
        </w:rPr>
        <w:t> </w:t>
      </w:r>
      <w:r>
        <w:rPr>
          <w:sz w:val="24"/>
        </w:rPr>
        <w:t>change</w:t>
      </w:r>
      <w:r>
        <w:rPr>
          <w:spacing w:val="-3"/>
          <w:sz w:val="24"/>
        </w:rPr>
        <w:t> </w:t>
      </w:r>
      <w:r>
        <w:rPr>
          <w:sz w:val="24"/>
        </w:rPr>
        <w:t>the</w:t>
      </w:r>
      <w:r>
        <w:rPr>
          <w:spacing w:val="-3"/>
          <w:sz w:val="24"/>
        </w:rPr>
        <w:t> </w:t>
      </w:r>
      <w:r>
        <w:rPr>
          <w:sz w:val="24"/>
        </w:rPr>
        <w:t>rheological</w:t>
      </w:r>
      <w:r>
        <w:rPr>
          <w:spacing w:val="-11"/>
          <w:sz w:val="24"/>
        </w:rPr>
        <w:t> </w:t>
      </w:r>
      <w:r>
        <w:rPr>
          <w:sz w:val="24"/>
        </w:rPr>
        <w:t>property</w:t>
      </w:r>
      <w:r>
        <w:rPr>
          <w:spacing w:val="-12"/>
          <w:sz w:val="24"/>
        </w:rPr>
        <w:t> </w:t>
      </w:r>
      <w:r>
        <w:rPr>
          <w:sz w:val="24"/>
        </w:rPr>
        <w:t>of</w:t>
      </w:r>
      <w:r>
        <w:rPr>
          <w:spacing w:val="-10"/>
          <w:sz w:val="24"/>
        </w:rPr>
        <w:t> </w:t>
      </w:r>
      <w:r>
        <w:rPr>
          <w:sz w:val="24"/>
        </w:rPr>
        <w:t>the fresh</w:t>
      </w:r>
      <w:r>
        <w:rPr>
          <w:spacing w:val="-2"/>
          <w:sz w:val="24"/>
        </w:rPr>
        <w:t> </w:t>
      </w:r>
      <w:r>
        <w:rPr>
          <w:sz w:val="24"/>
        </w:rPr>
        <w:t>mortar</w:t>
      </w:r>
      <w:r>
        <w:rPr>
          <w:spacing w:val="-1"/>
          <w:sz w:val="24"/>
        </w:rPr>
        <w:t> </w:t>
      </w:r>
      <w:r>
        <w:rPr>
          <w:sz w:val="24"/>
        </w:rPr>
        <w:t>mix</w:t>
      </w:r>
      <w:r>
        <w:rPr>
          <w:spacing w:val="-7"/>
          <w:sz w:val="24"/>
        </w:rPr>
        <w:t> </w:t>
      </w:r>
      <w:r>
        <w:rPr>
          <w:sz w:val="24"/>
        </w:rPr>
        <w:t>and</w:t>
      </w:r>
      <w:r>
        <w:rPr>
          <w:spacing w:val="-2"/>
          <w:sz w:val="24"/>
        </w:rPr>
        <w:t> </w:t>
      </w:r>
      <w:r>
        <w:rPr>
          <w:sz w:val="24"/>
        </w:rPr>
        <w:t>cause</w:t>
      </w:r>
      <w:r>
        <w:rPr>
          <w:spacing w:val="-3"/>
          <w:sz w:val="24"/>
        </w:rPr>
        <w:t> </w:t>
      </w:r>
      <w:r>
        <w:rPr>
          <w:sz w:val="24"/>
        </w:rPr>
        <w:t>workability </w:t>
      </w:r>
      <w:r>
        <w:rPr>
          <w:spacing w:val="-2"/>
          <w:sz w:val="24"/>
        </w:rPr>
        <w:t>issues.</w:t>
      </w:r>
    </w:p>
    <w:p>
      <w:pPr>
        <w:pStyle w:val="ListParagraph"/>
        <w:numPr>
          <w:ilvl w:val="0"/>
          <w:numId w:val="1"/>
        </w:numPr>
        <w:tabs>
          <w:tab w:pos="721" w:val="left" w:leader="none"/>
        </w:tabs>
        <w:spacing w:line="240" w:lineRule="auto" w:before="1" w:after="0"/>
        <w:ind w:left="721" w:right="375" w:hanging="361"/>
        <w:jc w:val="left"/>
        <w:rPr>
          <w:sz w:val="24"/>
        </w:rPr>
      </w:pPr>
      <w:r>
        <w:rPr>
          <w:sz w:val="24"/>
        </w:rPr>
        <w:t>SEM</w:t>
      </w:r>
      <w:r>
        <w:rPr>
          <w:spacing w:val="-5"/>
          <w:sz w:val="24"/>
        </w:rPr>
        <w:t> </w:t>
      </w:r>
      <w:r>
        <w:rPr>
          <w:sz w:val="24"/>
        </w:rPr>
        <w:t>imaging</w:t>
      </w:r>
      <w:r>
        <w:rPr>
          <w:spacing w:val="-4"/>
          <w:sz w:val="24"/>
        </w:rPr>
        <w:t> </w:t>
      </w:r>
      <w:r>
        <w:rPr>
          <w:sz w:val="24"/>
        </w:rPr>
        <w:t>performed</w:t>
      </w:r>
      <w:r>
        <w:rPr>
          <w:spacing w:val="-4"/>
          <w:sz w:val="24"/>
        </w:rPr>
        <w:t> </w:t>
      </w:r>
      <w:r>
        <w:rPr>
          <w:sz w:val="24"/>
        </w:rPr>
        <w:t>on</w:t>
      </w:r>
      <w:r>
        <w:rPr>
          <w:spacing w:val="-8"/>
          <w:sz w:val="24"/>
        </w:rPr>
        <w:t> </w:t>
      </w:r>
      <w:r>
        <w:rPr>
          <w:sz w:val="24"/>
        </w:rPr>
        <w:t>LWCC</w:t>
      </w:r>
      <w:r>
        <w:rPr>
          <w:spacing w:val="-5"/>
          <w:sz w:val="24"/>
        </w:rPr>
        <w:t> </w:t>
      </w:r>
      <w:r>
        <w:rPr>
          <w:sz w:val="24"/>
        </w:rPr>
        <w:t>samples</w:t>
      </w:r>
      <w:r>
        <w:rPr>
          <w:spacing w:val="-2"/>
          <w:sz w:val="24"/>
        </w:rPr>
        <w:t> </w:t>
      </w:r>
      <w:r>
        <w:rPr>
          <w:sz w:val="24"/>
        </w:rPr>
        <w:t>indicated</w:t>
      </w:r>
      <w:r>
        <w:rPr>
          <w:spacing w:val="-8"/>
          <w:sz w:val="24"/>
        </w:rPr>
        <w:t> </w:t>
      </w:r>
      <w:r>
        <w:rPr>
          <w:sz w:val="24"/>
        </w:rPr>
        <w:t>that</w:t>
      </w:r>
      <w:r>
        <w:rPr>
          <w:spacing w:val="-4"/>
          <w:sz w:val="24"/>
        </w:rPr>
        <w:t> </w:t>
      </w:r>
      <w:r>
        <w:rPr>
          <w:sz w:val="24"/>
        </w:rPr>
        <w:t>smaller</w:t>
      </w:r>
      <w:r>
        <w:rPr>
          <w:spacing w:val="-3"/>
          <w:sz w:val="24"/>
        </w:rPr>
        <w:t> </w:t>
      </w:r>
      <w:r>
        <w:rPr>
          <w:sz w:val="24"/>
        </w:rPr>
        <w:t>size</w:t>
      </w:r>
      <w:r>
        <w:rPr>
          <w:spacing w:val="-5"/>
          <w:sz w:val="24"/>
        </w:rPr>
        <w:t> </w:t>
      </w:r>
      <w:r>
        <w:rPr>
          <w:sz w:val="24"/>
        </w:rPr>
        <w:t>LWF</w:t>
      </w:r>
      <w:r>
        <w:rPr>
          <w:spacing w:val="-7"/>
          <w:sz w:val="24"/>
        </w:rPr>
        <w:t> </w:t>
      </w:r>
      <w:r>
        <w:rPr>
          <w:sz w:val="24"/>
        </w:rPr>
        <w:t>particles</w:t>
      </w:r>
      <w:r>
        <w:rPr>
          <w:spacing w:val="-5"/>
          <w:sz w:val="24"/>
        </w:rPr>
        <w:t> </w:t>
      </w:r>
      <w:r>
        <w:rPr>
          <w:sz w:val="24"/>
        </w:rPr>
        <w:t>are well distributed in the cementitious matrix during mixing, despite their very low</w:t>
      </w:r>
      <w:r>
        <w:rPr>
          <w:sz w:val="24"/>
        </w:rPr>
        <w:t> densities. Thus, these lightweight fillers may be suitable for extrusion based additive </w:t>
      </w:r>
      <w:r>
        <w:rPr>
          <w:spacing w:val="-2"/>
          <w:sz w:val="24"/>
        </w:rPr>
        <w:t>construction.</w:t>
      </w:r>
    </w:p>
    <w:p>
      <w:pPr>
        <w:pStyle w:val="ListParagraph"/>
        <w:numPr>
          <w:ilvl w:val="0"/>
          <w:numId w:val="1"/>
        </w:numPr>
        <w:tabs>
          <w:tab w:pos="721" w:val="left" w:leader="none"/>
        </w:tabs>
        <w:spacing w:line="237" w:lineRule="auto" w:before="4" w:after="0"/>
        <w:ind w:left="721" w:right="509" w:hanging="361"/>
        <w:jc w:val="left"/>
        <w:rPr>
          <w:sz w:val="24"/>
        </w:rPr>
      </w:pPr>
      <w:r>
        <w:rPr>
          <w:sz w:val="24"/>
        </w:rPr>
        <w:t>The Split Hopkinson Pressure Bar (SHPB) tests performed on LWCC indicate that the compressive</w:t>
      </w:r>
      <w:r>
        <w:rPr>
          <w:spacing w:val="-5"/>
          <w:sz w:val="24"/>
        </w:rPr>
        <w:t> </w:t>
      </w:r>
      <w:r>
        <w:rPr>
          <w:sz w:val="24"/>
        </w:rPr>
        <w:t>behavior</w:t>
      </w:r>
      <w:r>
        <w:rPr>
          <w:spacing w:val="-3"/>
          <w:sz w:val="24"/>
        </w:rPr>
        <w:t> </w:t>
      </w:r>
      <w:r>
        <w:rPr>
          <w:sz w:val="24"/>
        </w:rPr>
        <w:t>LWCC</w:t>
      </w:r>
      <w:r>
        <w:rPr>
          <w:spacing w:val="-1"/>
          <w:sz w:val="24"/>
        </w:rPr>
        <w:t> </w:t>
      </w:r>
      <w:r>
        <w:rPr>
          <w:sz w:val="24"/>
        </w:rPr>
        <w:t>is</w:t>
      </w:r>
      <w:r>
        <w:rPr>
          <w:spacing w:val="-5"/>
          <w:sz w:val="24"/>
        </w:rPr>
        <w:t> </w:t>
      </w:r>
      <w:r>
        <w:rPr>
          <w:sz w:val="24"/>
        </w:rPr>
        <w:t>strain</w:t>
      </w:r>
      <w:r>
        <w:rPr>
          <w:spacing w:val="-8"/>
          <w:sz w:val="24"/>
        </w:rPr>
        <w:t> </w:t>
      </w:r>
      <w:r>
        <w:rPr>
          <w:sz w:val="24"/>
        </w:rPr>
        <w:t>rate</w:t>
      </w:r>
      <w:r>
        <w:rPr>
          <w:spacing w:val="-5"/>
          <w:sz w:val="24"/>
        </w:rPr>
        <w:t> </w:t>
      </w:r>
      <w:r>
        <w:rPr>
          <w:sz w:val="24"/>
        </w:rPr>
        <w:t>sensitive.</w:t>
      </w:r>
      <w:r>
        <w:rPr>
          <w:spacing w:val="-2"/>
          <w:sz w:val="24"/>
        </w:rPr>
        <w:t> </w:t>
      </w:r>
      <w:r>
        <w:rPr>
          <w:sz w:val="24"/>
        </w:rPr>
        <w:t>More</w:t>
      </w:r>
      <w:r>
        <w:rPr>
          <w:spacing w:val="-5"/>
          <w:sz w:val="24"/>
        </w:rPr>
        <w:t> </w:t>
      </w:r>
      <w:r>
        <w:rPr>
          <w:sz w:val="24"/>
        </w:rPr>
        <w:t>systematic</w:t>
      </w:r>
      <w:r>
        <w:rPr>
          <w:spacing w:val="-5"/>
          <w:sz w:val="24"/>
        </w:rPr>
        <w:t> </w:t>
      </w:r>
      <w:r>
        <w:rPr>
          <w:sz w:val="24"/>
        </w:rPr>
        <w:t>study</w:t>
      </w:r>
      <w:r>
        <w:rPr>
          <w:spacing w:val="-8"/>
          <w:sz w:val="24"/>
        </w:rPr>
        <w:t> </w:t>
      </w:r>
      <w:r>
        <w:rPr>
          <w:sz w:val="24"/>
        </w:rPr>
        <w:t>is</w:t>
      </w:r>
      <w:r>
        <w:rPr>
          <w:spacing w:val="-5"/>
          <w:sz w:val="24"/>
        </w:rPr>
        <w:t> </w:t>
      </w:r>
      <w:r>
        <w:rPr>
          <w:sz w:val="24"/>
        </w:rPr>
        <w:t>desired</w:t>
      </w:r>
      <w:r>
        <w:rPr>
          <w:spacing w:val="-4"/>
          <w:sz w:val="24"/>
        </w:rPr>
        <w:t> </w:t>
      </w:r>
      <w:r>
        <w:rPr>
          <w:sz w:val="24"/>
        </w:rPr>
        <w:t>to understand the material behavior under high strain-rate loading.</w:t>
      </w:r>
    </w:p>
    <w:p>
      <w:pPr>
        <w:pStyle w:val="Heading1"/>
        <w:spacing w:before="210"/>
      </w:pPr>
      <w:r>
        <w:rPr>
          <w:spacing w:val="-2"/>
        </w:rPr>
        <w:t>REFERENCES</w:t>
      </w:r>
    </w:p>
    <w:p>
      <w:pPr>
        <w:pStyle w:val="BodyText"/>
        <w:spacing w:before="195"/>
        <w:ind w:left="360" w:right="676" w:hanging="360"/>
        <w:jc w:val="both"/>
      </w:pPr>
      <w:r>
        <w:rPr/>
        <w:t>Aglan, H., Shebl, S., Morsy, M., Calhoun, M., Harding, H.,</w:t>
      </w:r>
      <w:r>
        <w:rPr>
          <w:spacing w:val="-5"/>
        </w:rPr>
        <w:t> </w:t>
      </w:r>
      <w:r>
        <w:rPr/>
        <w:t>Ahmad, M. (2009).</w:t>
      </w:r>
      <w:r>
        <w:rPr>
          <w:spacing w:val="-5"/>
        </w:rPr>
        <w:t> </w:t>
      </w:r>
      <w:r>
        <w:rPr/>
        <w:t>“Strength</w:t>
      </w:r>
      <w:r>
        <w:rPr>
          <w:spacing w:val="-7"/>
        </w:rPr>
        <w:t> </w:t>
      </w:r>
      <w:r>
        <w:rPr/>
        <w:t>and toughness</w:t>
      </w:r>
      <w:r>
        <w:rPr>
          <w:spacing w:val="-4"/>
        </w:rPr>
        <w:t> </w:t>
      </w:r>
      <w:r>
        <w:rPr/>
        <w:t>improvement</w:t>
      </w:r>
      <w:r>
        <w:rPr>
          <w:spacing w:val="-2"/>
        </w:rPr>
        <w:t> </w:t>
      </w:r>
      <w:r>
        <w:rPr/>
        <w:t>of</w:t>
      </w:r>
      <w:r>
        <w:rPr>
          <w:spacing w:val="-13"/>
        </w:rPr>
        <w:t> </w:t>
      </w:r>
      <w:r>
        <w:rPr/>
        <w:t>cement</w:t>
      </w:r>
      <w:r>
        <w:rPr>
          <w:spacing w:val="-2"/>
        </w:rPr>
        <w:t> </w:t>
      </w:r>
      <w:r>
        <w:rPr/>
        <w:t>binders</w:t>
      </w:r>
      <w:r>
        <w:rPr>
          <w:spacing w:val="-8"/>
        </w:rPr>
        <w:t> </w:t>
      </w:r>
      <w:r>
        <w:rPr/>
        <w:t>using</w:t>
      </w:r>
      <w:r>
        <w:rPr>
          <w:spacing w:val="-6"/>
        </w:rPr>
        <w:t> </w:t>
      </w:r>
      <w:r>
        <w:rPr/>
        <w:t>expandable</w:t>
      </w:r>
      <w:r>
        <w:rPr>
          <w:spacing w:val="-7"/>
        </w:rPr>
        <w:t> </w:t>
      </w:r>
      <w:r>
        <w:rPr/>
        <w:t>thermoplastic</w:t>
      </w:r>
      <w:r>
        <w:rPr>
          <w:spacing w:val="-3"/>
        </w:rPr>
        <w:t> </w:t>
      </w:r>
      <w:r>
        <w:rPr/>
        <w:t>microspheres.” </w:t>
      </w:r>
      <w:r>
        <w:rPr>
          <w:i/>
        </w:rPr>
        <w:t>Constr Build Mate</w:t>
      </w:r>
      <w:r>
        <w:rPr/>
        <w:t>, 23(8), 2856–2861.</w:t>
      </w:r>
    </w:p>
    <w:p>
      <w:pPr>
        <w:pStyle w:val="BodyText"/>
        <w:ind w:left="360" w:right="391" w:hanging="360"/>
      </w:pPr>
      <w:r>
        <w:rPr/>
        <w:t>ASTM International. (2005). “Standard Test Method for Thermal Performance of Building Materials</w:t>
      </w:r>
      <w:r>
        <w:rPr>
          <w:spacing w:val="-4"/>
        </w:rPr>
        <w:t> </w:t>
      </w:r>
      <w:r>
        <w:rPr/>
        <w:t>and</w:t>
      </w:r>
      <w:r>
        <w:rPr>
          <w:spacing w:val="-2"/>
        </w:rPr>
        <w:t> </w:t>
      </w:r>
      <w:r>
        <w:rPr/>
        <w:t>Envelope</w:t>
      </w:r>
      <w:r>
        <w:rPr>
          <w:spacing w:val="-3"/>
        </w:rPr>
        <w:t> </w:t>
      </w:r>
      <w:r>
        <w:rPr/>
        <w:t>Assemblies</w:t>
      </w:r>
      <w:r>
        <w:rPr>
          <w:spacing w:val="-4"/>
        </w:rPr>
        <w:t> </w:t>
      </w:r>
      <w:r>
        <w:rPr/>
        <w:t>by</w:t>
      </w:r>
      <w:r>
        <w:rPr>
          <w:spacing w:val="-7"/>
        </w:rPr>
        <w:t> </w:t>
      </w:r>
      <w:r>
        <w:rPr/>
        <w:t>Means</w:t>
      </w:r>
      <w:r>
        <w:rPr>
          <w:spacing w:val="-4"/>
        </w:rPr>
        <w:t> </w:t>
      </w:r>
      <w:r>
        <w:rPr/>
        <w:t>of</w:t>
      </w:r>
      <w:r>
        <w:rPr>
          <w:spacing w:val="-9"/>
        </w:rPr>
        <w:t> </w:t>
      </w:r>
      <w:r>
        <w:rPr/>
        <w:t>a Hot</w:t>
      </w:r>
      <w:r>
        <w:rPr>
          <w:spacing w:val="-2"/>
        </w:rPr>
        <w:t> </w:t>
      </w:r>
      <w:r>
        <w:rPr/>
        <w:t>Box</w:t>
      </w:r>
      <w:r>
        <w:rPr>
          <w:spacing w:val="-7"/>
        </w:rPr>
        <w:t> </w:t>
      </w:r>
      <w:r>
        <w:rPr/>
        <w:t>Apparatus.”</w:t>
      </w:r>
      <w:r>
        <w:rPr>
          <w:spacing w:val="-3"/>
        </w:rPr>
        <w:t> </w:t>
      </w:r>
      <w:r>
        <w:rPr>
          <w:i/>
        </w:rPr>
        <w:t>ASTM</w:t>
      </w:r>
      <w:r>
        <w:rPr>
          <w:i/>
          <w:spacing w:val="-1"/>
        </w:rPr>
        <w:t> </w:t>
      </w:r>
      <w:r>
        <w:rPr>
          <w:i/>
        </w:rPr>
        <w:t>C1363</w:t>
      </w:r>
      <w:r>
        <w:rPr/>
        <w:t>,</w:t>
      </w:r>
      <w:r>
        <w:rPr>
          <w:spacing w:val="-5"/>
        </w:rPr>
        <w:t> </w:t>
      </w:r>
      <w:r>
        <w:rPr/>
        <w:t>West Conshohocken, PA.</w:t>
      </w:r>
    </w:p>
    <w:p>
      <w:pPr>
        <w:pStyle w:val="BodyText"/>
        <w:ind w:left="360" w:right="510" w:hanging="360"/>
      </w:pPr>
      <w:r>
        <w:rPr/>
        <w:t>Bos, F., Wolfs, R., Ahmed, Z., Salet, T. (2016). “Additive manufacturing of concrete in construction:</w:t>
      </w:r>
      <w:r>
        <w:rPr>
          <w:spacing w:val="-2"/>
        </w:rPr>
        <w:t> </w:t>
      </w:r>
      <w:r>
        <w:rPr/>
        <w:t>potentials</w:t>
      </w:r>
      <w:r>
        <w:rPr>
          <w:spacing w:val="-4"/>
        </w:rPr>
        <w:t> </w:t>
      </w:r>
      <w:r>
        <w:rPr/>
        <w:t>and</w:t>
      </w:r>
      <w:r>
        <w:rPr>
          <w:spacing w:val="-2"/>
        </w:rPr>
        <w:t> </w:t>
      </w:r>
      <w:r>
        <w:rPr/>
        <w:t>challenges</w:t>
      </w:r>
      <w:r>
        <w:rPr>
          <w:spacing w:val="-5"/>
        </w:rPr>
        <w:t> </w:t>
      </w:r>
      <w:r>
        <w:rPr/>
        <w:t>of</w:t>
      </w:r>
      <w:r>
        <w:rPr>
          <w:spacing w:val="-10"/>
        </w:rPr>
        <w:t> </w:t>
      </w:r>
      <w:r>
        <w:rPr/>
        <w:t>3D</w:t>
      </w:r>
      <w:r>
        <w:rPr>
          <w:spacing w:val="-3"/>
        </w:rPr>
        <w:t> </w:t>
      </w:r>
      <w:r>
        <w:rPr/>
        <w:t>concrete</w:t>
      </w:r>
      <w:r>
        <w:rPr>
          <w:spacing w:val="-8"/>
        </w:rPr>
        <w:t> </w:t>
      </w:r>
      <w:r>
        <w:rPr/>
        <w:t>printing.” </w:t>
      </w:r>
      <w:r>
        <w:rPr>
          <w:i/>
        </w:rPr>
        <w:t>Virtual</w:t>
      </w:r>
      <w:r>
        <w:rPr>
          <w:i/>
          <w:spacing w:val="-2"/>
        </w:rPr>
        <w:t> </w:t>
      </w:r>
      <w:r>
        <w:rPr>
          <w:i/>
        </w:rPr>
        <w:t>Phys</w:t>
      </w:r>
      <w:r>
        <w:rPr>
          <w:i/>
          <w:spacing w:val="-4"/>
        </w:rPr>
        <w:t> </w:t>
      </w:r>
      <w:r>
        <w:rPr>
          <w:i/>
        </w:rPr>
        <w:t>Prototyp</w:t>
      </w:r>
      <w:r>
        <w:rPr/>
        <w:t>, 11(3), 209-225.</w:t>
      </w:r>
    </w:p>
    <w:p>
      <w:pPr>
        <w:pStyle w:val="BodyText"/>
        <w:spacing w:line="237" w:lineRule="auto"/>
        <w:ind w:left="360" w:right="510" w:hanging="360"/>
      </w:pPr>
      <w:r>
        <w:rPr/>
        <w:t>Buswell,</w:t>
      </w:r>
      <w:r>
        <w:rPr>
          <w:spacing w:val="-2"/>
        </w:rPr>
        <w:t> </w:t>
      </w:r>
      <w:r>
        <w:rPr/>
        <w:t>R.A.,</w:t>
      </w:r>
      <w:r>
        <w:rPr>
          <w:spacing w:val="-2"/>
        </w:rPr>
        <w:t> </w:t>
      </w:r>
      <w:r>
        <w:rPr/>
        <w:t>Soar,</w:t>
      </w:r>
      <w:r>
        <w:rPr>
          <w:spacing w:val="-2"/>
        </w:rPr>
        <w:t> </w:t>
      </w:r>
      <w:r>
        <w:rPr/>
        <w:t>R.C.,</w:t>
      </w:r>
      <w:r>
        <w:rPr>
          <w:spacing w:val="-2"/>
        </w:rPr>
        <w:t> </w:t>
      </w:r>
      <w:r>
        <w:rPr/>
        <w:t>Gibb,</w:t>
      </w:r>
      <w:r>
        <w:rPr>
          <w:spacing w:val="-1"/>
        </w:rPr>
        <w:t> </w:t>
      </w:r>
      <w:r>
        <w:rPr/>
        <w:t>A.G.F.,</w:t>
      </w:r>
      <w:r>
        <w:rPr>
          <w:spacing w:val="-2"/>
        </w:rPr>
        <w:t> </w:t>
      </w:r>
      <w:r>
        <w:rPr/>
        <w:t>Thorpe,</w:t>
      </w:r>
      <w:r>
        <w:rPr>
          <w:spacing w:val="-10"/>
        </w:rPr>
        <w:t> </w:t>
      </w:r>
      <w:r>
        <w:rPr/>
        <w:t>A.</w:t>
      </w:r>
      <w:r>
        <w:rPr>
          <w:spacing w:val="-2"/>
        </w:rPr>
        <w:t> </w:t>
      </w:r>
      <w:r>
        <w:rPr/>
        <w:t>(2006).</w:t>
      </w:r>
      <w:r>
        <w:rPr>
          <w:spacing w:val="-7"/>
        </w:rPr>
        <w:t> </w:t>
      </w:r>
      <w:r>
        <w:rPr/>
        <w:t>“Freeform</w:t>
      </w:r>
      <w:r>
        <w:rPr>
          <w:spacing w:val="-12"/>
        </w:rPr>
        <w:t> </w:t>
      </w:r>
      <w:r>
        <w:rPr/>
        <w:t>Construction:</w:t>
      </w:r>
      <w:r>
        <w:rPr>
          <w:spacing w:val="-4"/>
        </w:rPr>
        <w:t> </w:t>
      </w:r>
      <w:r>
        <w:rPr/>
        <w:t>Mega- scale Rapid Manufacturing for construction.” </w:t>
      </w:r>
      <w:r>
        <w:rPr>
          <w:i/>
        </w:rPr>
        <w:t>Autom Constr</w:t>
      </w:r>
      <w:r>
        <w:rPr/>
        <w:t>, 16(2), 224–231.</w:t>
      </w:r>
    </w:p>
    <w:p>
      <w:pPr>
        <w:spacing w:line="237" w:lineRule="auto" w:before="6"/>
        <w:ind w:left="360" w:right="0" w:hanging="360"/>
        <w:jc w:val="left"/>
        <w:rPr>
          <w:sz w:val="24"/>
        </w:rPr>
      </w:pPr>
      <w:r>
        <w:rPr>
          <w:sz w:val="24"/>
        </w:rPr>
        <w:t>Clarke,</w:t>
      </w:r>
      <w:r>
        <w:rPr>
          <w:spacing w:val="-4"/>
          <w:sz w:val="24"/>
        </w:rPr>
        <w:t> </w:t>
      </w:r>
      <w:r>
        <w:rPr>
          <w:sz w:val="24"/>
        </w:rPr>
        <w:t>J.L.,</w:t>
      </w:r>
      <w:r>
        <w:rPr>
          <w:spacing w:val="-4"/>
          <w:sz w:val="24"/>
        </w:rPr>
        <w:t> </w:t>
      </w:r>
      <w:r>
        <w:rPr>
          <w:sz w:val="24"/>
        </w:rPr>
        <w:t>ed.</w:t>
      </w:r>
      <w:r>
        <w:rPr>
          <w:spacing w:val="-8"/>
          <w:sz w:val="24"/>
        </w:rPr>
        <w:t> </w:t>
      </w:r>
      <w:r>
        <w:rPr>
          <w:sz w:val="24"/>
        </w:rPr>
        <w:t>(1993). </w:t>
      </w:r>
      <w:r>
        <w:rPr>
          <w:i/>
          <w:sz w:val="24"/>
        </w:rPr>
        <w:t>Structural</w:t>
      </w:r>
      <w:r>
        <w:rPr>
          <w:i/>
          <w:spacing w:val="-6"/>
          <w:sz w:val="24"/>
        </w:rPr>
        <w:t> </w:t>
      </w:r>
      <w:r>
        <w:rPr>
          <w:i/>
          <w:sz w:val="24"/>
        </w:rPr>
        <w:t>Lightweight</w:t>
      </w:r>
      <w:r>
        <w:rPr>
          <w:i/>
          <w:spacing w:val="-6"/>
          <w:sz w:val="24"/>
        </w:rPr>
        <w:t> </w:t>
      </w:r>
      <w:r>
        <w:rPr>
          <w:i/>
          <w:sz w:val="24"/>
        </w:rPr>
        <w:t>Aggregate</w:t>
      </w:r>
      <w:r>
        <w:rPr>
          <w:i/>
          <w:spacing w:val="-6"/>
          <w:sz w:val="24"/>
        </w:rPr>
        <w:t> </w:t>
      </w:r>
      <w:r>
        <w:rPr>
          <w:i/>
          <w:sz w:val="24"/>
        </w:rPr>
        <w:t>Concrete</w:t>
      </w:r>
      <w:r>
        <w:rPr>
          <w:sz w:val="24"/>
        </w:rPr>
        <w:t>.</w:t>
      </w:r>
      <w:r>
        <w:rPr>
          <w:spacing w:val="-4"/>
          <w:sz w:val="24"/>
        </w:rPr>
        <w:t> </w:t>
      </w:r>
      <w:r>
        <w:rPr>
          <w:sz w:val="24"/>
        </w:rPr>
        <w:t>Blackie</w:t>
      </w:r>
      <w:r>
        <w:rPr>
          <w:spacing w:val="-2"/>
          <w:sz w:val="24"/>
        </w:rPr>
        <w:t> </w:t>
      </w:r>
      <w:r>
        <w:rPr>
          <w:sz w:val="24"/>
        </w:rPr>
        <w:t>Academic</w:t>
      </w:r>
      <w:r>
        <w:rPr>
          <w:spacing w:val="-2"/>
          <w:sz w:val="24"/>
        </w:rPr>
        <w:t> </w:t>
      </w:r>
      <w:r>
        <w:rPr>
          <w:sz w:val="24"/>
        </w:rPr>
        <w:t>&amp; Professional, Glasgow, UK.</w:t>
      </w:r>
    </w:p>
    <w:p>
      <w:pPr>
        <w:pStyle w:val="BodyText"/>
        <w:spacing w:before="3"/>
        <w:ind w:left="360" w:right="384" w:hanging="360"/>
      </w:pPr>
      <w:r>
        <w:rPr/>
        <w:t>Hanif, A., Lu, Z., Cheng, Y., Diao, S., Li, Z. (2017) .“Effects of</w:t>
      </w:r>
      <w:r>
        <w:rPr>
          <w:spacing w:val="-2"/>
        </w:rPr>
        <w:t> </w:t>
      </w:r>
      <w:r>
        <w:rPr/>
        <w:t>Different Lightweight</w:t>
      </w:r>
      <w:r>
        <w:rPr/>
        <w:t> Functional</w:t>
      </w:r>
      <w:r>
        <w:rPr>
          <w:spacing w:val="-7"/>
        </w:rPr>
        <w:t> </w:t>
      </w:r>
      <w:r>
        <w:rPr/>
        <w:t>Fillers</w:t>
      </w:r>
      <w:r>
        <w:rPr>
          <w:spacing w:val="-1"/>
        </w:rPr>
        <w:t> </w:t>
      </w:r>
      <w:r>
        <w:rPr/>
        <w:t>for Use in</w:t>
      </w:r>
      <w:r>
        <w:rPr>
          <w:spacing w:val="-7"/>
        </w:rPr>
        <w:t> </w:t>
      </w:r>
      <w:r>
        <w:rPr/>
        <w:t>Cementitious</w:t>
      </w:r>
      <w:r>
        <w:rPr>
          <w:spacing w:val="-6"/>
        </w:rPr>
        <w:t> </w:t>
      </w:r>
      <w:r>
        <w:rPr/>
        <w:t>Composites.” I</w:t>
      </w:r>
      <w:r>
        <w:rPr>
          <w:i/>
        </w:rPr>
        <w:t>nt</w:t>
      </w:r>
      <w:r>
        <w:rPr>
          <w:i/>
          <w:spacing w:val="-3"/>
        </w:rPr>
        <w:t> </w:t>
      </w:r>
      <w:r>
        <w:rPr>
          <w:i/>
        </w:rPr>
        <w:t>J</w:t>
      </w:r>
      <w:r>
        <w:rPr>
          <w:i/>
          <w:spacing w:val="-4"/>
        </w:rPr>
        <w:t> </w:t>
      </w:r>
      <w:r>
        <w:rPr>
          <w:i/>
        </w:rPr>
        <w:t>Concr</w:t>
      </w:r>
      <w:r>
        <w:rPr>
          <w:i/>
          <w:spacing w:val="-5"/>
        </w:rPr>
        <w:t> </w:t>
      </w:r>
      <w:r>
        <w:rPr>
          <w:i/>
        </w:rPr>
        <w:t>Struct</w:t>
      </w:r>
      <w:r>
        <w:rPr>
          <w:i/>
          <w:spacing w:val="-3"/>
        </w:rPr>
        <w:t> </w:t>
      </w:r>
      <w:r>
        <w:rPr>
          <w:i/>
        </w:rPr>
        <w:t>Mater,</w:t>
      </w:r>
      <w:r>
        <w:rPr>
          <w:i/>
          <w:spacing w:val="-5"/>
        </w:rPr>
        <w:t> </w:t>
      </w:r>
      <w:r>
        <w:rPr/>
        <w:t>11(1), 99– </w:t>
      </w:r>
      <w:r>
        <w:rPr>
          <w:spacing w:val="-4"/>
        </w:rPr>
        <w:t>113.</w:t>
      </w:r>
    </w:p>
    <w:p>
      <w:pPr>
        <w:pStyle w:val="BodyText"/>
        <w:spacing w:line="242" w:lineRule="auto"/>
        <w:ind w:left="360" w:right="322" w:hanging="360"/>
      </w:pPr>
      <w:r>
        <w:rPr/>
        <w:t>Hanif, A.,</w:t>
      </w:r>
      <w:r>
        <w:rPr>
          <w:spacing w:val="-2"/>
        </w:rPr>
        <w:t> </w:t>
      </w:r>
      <w:r>
        <w:rPr/>
        <w:t>Parthasarathy,</w:t>
      </w:r>
      <w:r>
        <w:rPr>
          <w:spacing w:val="-2"/>
        </w:rPr>
        <w:t> </w:t>
      </w:r>
      <w:r>
        <w:rPr/>
        <w:t>P.,</w:t>
      </w:r>
      <w:r>
        <w:rPr>
          <w:spacing w:val="-2"/>
        </w:rPr>
        <w:t> </w:t>
      </w:r>
      <w:r>
        <w:rPr/>
        <w:t>Ma,</w:t>
      </w:r>
      <w:r>
        <w:rPr>
          <w:spacing w:val="-6"/>
        </w:rPr>
        <w:t> </w:t>
      </w:r>
      <w:r>
        <w:rPr/>
        <w:t>H.,</w:t>
      </w:r>
      <w:r>
        <w:rPr>
          <w:spacing w:val="-7"/>
        </w:rPr>
        <w:t> </w:t>
      </w:r>
      <w:r>
        <w:rPr/>
        <w:t>Fan,</w:t>
      </w:r>
      <w:r>
        <w:rPr>
          <w:spacing w:val="-2"/>
        </w:rPr>
        <w:t> </w:t>
      </w:r>
      <w:r>
        <w:rPr/>
        <w:t>T.,</w:t>
      </w:r>
      <w:r>
        <w:rPr>
          <w:spacing w:val="-7"/>
        </w:rPr>
        <w:t> </w:t>
      </w:r>
      <w:r>
        <w:rPr/>
        <w:t>Li,</w:t>
      </w:r>
      <w:r>
        <w:rPr>
          <w:spacing w:val="-2"/>
        </w:rPr>
        <w:t> </w:t>
      </w:r>
      <w:r>
        <w:rPr/>
        <w:t>Z.</w:t>
      </w:r>
      <w:r>
        <w:rPr>
          <w:spacing w:val="-2"/>
        </w:rPr>
        <w:t> </w:t>
      </w:r>
      <w:r>
        <w:rPr/>
        <w:t>(2017).</w:t>
      </w:r>
      <w:r>
        <w:rPr>
          <w:spacing w:val="-2"/>
        </w:rPr>
        <w:t> </w:t>
      </w:r>
      <w:r>
        <w:rPr/>
        <w:t>“Properties</w:t>
      </w:r>
      <w:r>
        <w:rPr>
          <w:spacing w:val="-2"/>
        </w:rPr>
        <w:t> </w:t>
      </w:r>
      <w:r>
        <w:rPr/>
        <w:t>improvement</w:t>
      </w:r>
      <w:r>
        <w:rPr>
          <w:spacing w:val="-4"/>
        </w:rPr>
        <w:t> </w:t>
      </w:r>
      <w:r>
        <w:rPr/>
        <w:t>of</w:t>
      </w:r>
      <w:r>
        <w:rPr>
          <w:spacing w:val="-7"/>
        </w:rPr>
        <w:t> </w:t>
      </w:r>
      <w:r>
        <w:rPr/>
        <w:t>fly</w:t>
      </w:r>
      <w:r>
        <w:rPr>
          <w:spacing w:val="-8"/>
        </w:rPr>
        <w:t> </w:t>
      </w:r>
      <w:r>
        <w:rPr/>
        <w:t>ash cenosphere modified cement pastes using nano silica.” </w:t>
      </w:r>
      <w:r>
        <w:rPr>
          <w:i/>
        </w:rPr>
        <w:t>Cem Concr Compo</w:t>
      </w:r>
      <w:r>
        <w:rPr/>
        <w:t>, 81, 35–48.</w:t>
      </w:r>
    </w:p>
    <w:p>
      <w:pPr>
        <w:pStyle w:val="BodyText"/>
        <w:spacing w:line="242" w:lineRule="auto"/>
        <w:ind w:left="360" w:right="383" w:hanging="360"/>
      </w:pPr>
      <w:r>
        <w:rPr/>
        <w:t>Huang, X., Ranade, R., Zhang, Q., Ni, W., Li, V.C. (2013). “Mechanical</w:t>
      </w:r>
      <w:r>
        <w:rPr>
          <w:spacing w:val="-3"/>
        </w:rPr>
        <w:t> </w:t>
      </w:r>
      <w:r>
        <w:rPr/>
        <w:t>and thermal</w:t>
      </w:r>
      <w:r>
        <w:rPr>
          <w:spacing w:val="-3"/>
        </w:rPr>
        <w:t> </w:t>
      </w:r>
      <w:r>
        <w:rPr/>
        <w:t>properties of</w:t>
      </w:r>
      <w:r>
        <w:rPr>
          <w:spacing w:val="-10"/>
        </w:rPr>
        <w:t> </w:t>
      </w:r>
      <w:r>
        <w:rPr/>
        <w:t>green</w:t>
      </w:r>
      <w:r>
        <w:rPr>
          <w:spacing w:val="-3"/>
        </w:rPr>
        <w:t> </w:t>
      </w:r>
      <w:r>
        <w:rPr/>
        <w:t>lightweight engineered</w:t>
      </w:r>
      <w:r>
        <w:rPr>
          <w:spacing w:val="-3"/>
        </w:rPr>
        <w:t> </w:t>
      </w:r>
      <w:r>
        <w:rPr/>
        <w:t>cementitious</w:t>
      </w:r>
      <w:r>
        <w:rPr>
          <w:spacing w:val="-5"/>
        </w:rPr>
        <w:t> </w:t>
      </w:r>
      <w:r>
        <w:rPr/>
        <w:t>composites.”</w:t>
      </w:r>
      <w:r>
        <w:rPr>
          <w:spacing w:val="-3"/>
        </w:rPr>
        <w:t> </w:t>
      </w:r>
      <w:r>
        <w:rPr>
          <w:i/>
        </w:rPr>
        <w:t>Constr</w:t>
      </w:r>
      <w:r>
        <w:rPr>
          <w:i/>
          <w:spacing w:val="-5"/>
        </w:rPr>
        <w:t> </w:t>
      </w:r>
      <w:r>
        <w:rPr>
          <w:i/>
        </w:rPr>
        <w:t>Build</w:t>
      </w:r>
      <w:r>
        <w:rPr>
          <w:i/>
          <w:spacing w:val="-3"/>
        </w:rPr>
        <w:t> </w:t>
      </w:r>
      <w:r>
        <w:rPr>
          <w:i/>
        </w:rPr>
        <w:t>Mater</w:t>
      </w:r>
      <w:r>
        <w:rPr/>
        <w:t>,</w:t>
      </w:r>
      <w:r>
        <w:rPr>
          <w:spacing w:val="-2"/>
        </w:rPr>
        <w:t> </w:t>
      </w:r>
      <w:r>
        <w:rPr/>
        <w:t>48,</w:t>
      </w:r>
      <w:r>
        <w:rPr>
          <w:spacing w:val="-2"/>
        </w:rPr>
        <w:t> </w:t>
      </w:r>
      <w:r>
        <w:rPr/>
        <w:t>954–960.</w:t>
      </w:r>
    </w:p>
    <w:p>
      <w:pPr>
        <w:pStyle w:val="BodyText"/>
        <w:ind w:left="360" w:right="429" w:hanging="360"/>
      </w:pPr>
      <w:r>
        <w:rPr/>
        <w:t>ISO.</w:t>
      </w:r>
      <w:r>
        <w:rPr>
          <w:spacing w:val="-3"/>
        </w:rPr>
        <w:t> </w:t>
      </w:r>
      <w:r>
        <w:rPr/>
        <w:t>(2008). “Plastics</w:t>
      </w:r>
      <w:r>
        <w:rPr>
          <w:spacing w:val="-1"/>
        </w:rPr>
        <w:t> </w:t>
      </w:r>
      <w:r>
        <w:rPr/>
        <w:t>- Determination</w:t>
      </w:r>
      <w:r>
        <w:rPr>
          <w:spacing w:val="-5"/>
        </w:rPr>
        <w:t> </w:t>
      </w:r>
      <w:r>
        <w:rPr/>
        <w:t>of</w:t>
      </w:r>
      <w:r>
        <w:rPr>
          <w:spacing w:val="-8"/>
        </w:rPr>
        <w:t> </w:t>
      </w:r>
      <w:r>
        <w:rPr/>
        <w:t>thermal</w:t>
      </w:r>
      <w:r>
        <w:rPr>
          <w:spacing w:val="-9"/>
        </w:rPr>
        <w:t> </w:t>
      </w:r>
      <w:r>
        <w:rPr/>
        <w:t>conductivity</w:t>
      </w:r>
      <w:r>
        <w:rPr>
          <w:spacing w:val="-10"/>
        </w:rPr>
        <w:t> </w:t>
      </w:r>
      <w:r>
        <w:rPr/>
        <w:t>and</w:t>
      </w:r>
      <w:r>
        <w:rPr>
          <w:spacing w:val="-1"/>
        </w:rPr>
        <w:t> </w:t>
      </w:r>
      <w:r>
        <w:rPr/>
        <w:t>thermal</w:t>
      </w:r>
      <w:r>
        <w:rPr>
          <w:spacing w:val="-9"/>
        </w:rPr>
        <w:t> </w:t>
      </w:r>
      <w:r>
        <w:rPr/>
        <w:t>diffusivity - Part</w:t>
      </w:r>
      <w:r>
        <w:rPr>
          <w:spacing w:val="-1"/>
        </w:rPr>
        <w:t> </w:t>
      </w:r>
      <w:r>
        <w:rPr/>
        <w:t>2: Transient plane source method.” </w:t>
      </w:r>
      <w:r>
        <w:rPr>
          <w:i/>
        </w:rPr>
        <w:t>ISA </w:t>
      </w:r>
      <w:r>
        <w:rPr/>
        <w:t>22007-2, International Organization for Standardization, Geneva, Switzerland.</w:t>
      </w:r>
    </w:p>
    <w:p>
      <w:pPr>
        <w:spacing w:line="237" w:lineRule="auto" w:before="0"/>
        <w:ind w:left="360" w:right="391" w:hanging="360"/>
        <w:jc w:val="left"/>
        <w:rPr>
          <w:sz w:val="24"/>
        </w:rPr>
      </w:pPr>
      <w:r>
        <w:rPr>
          <w:sz w:val="24"/>
        </w:rPr>
        <w:t>Lindholm, U.S.</w:t>
      </w:r>
      <w:r>
        <w:rPr>
          <w:spacing w:val="-5"/>
          <w:sz w:val="24"/>
        </w:rPr>
        <w:t> </w:t>
      </w:r>
      <w:r>
        <w:rPr>
          <w:sz w:val="24"/>
        </w:rPr>
        <w:t>(1971). “High</w:t>
      </w:r>
      <w:r>
        <w:rPr>
          <w:spacing w:val="-7"/>
          <w:sz w:val="24"/>
        </w:rPr>
        <w:t> </w:t>
      </w:r>
      <w:r>
        <w:rPr>
          <w:sz w:val="24"/>
        </w:rPr>
        <w:t>strain</w:t>
      </w:r>
      <w:r>
        <w:rPr>
          <w:spacing w:val="-7"/>
          <w:sz w:val="24"/>
        </w:rPr>
        <w:t> </w:t>
      </w:r>
      <w:r>
        <w:rPr>
          <w:sz w:val="24"/>
        </w:rPr>
        <w:t>rate</w:t>
      </w:r>
      <w:r>
        <w:rPr>
          <w:spacing w:val="-8"/>
          <w:sz w:val="24"/>
        </w:rPr>
        <w:t> </w:t>
      </w:r>
      <w:r>
        <w:rPr>
          <w:sz w:val="24"/>
        </w:rPr>
        <w:t>tests.”</w:t>
      </w:r>
      <w:r>
        <w:rPr>
          <w:spacing w:val="-3"/>
          <w:sz w:val="24"/>
        </w:rPr>
        <w:t> </w:t>
      </w:r>
      <w:r>
        <w:rPr>
          <w:sz w:val="24"/>
        </w:rPr>
        <w:t>Chapter</w:t>
      </w:r>
      <w:r>
        <w:rPr>
          <w:spacing w:val="-5"/>
          <w:sz w:val="24"/>
        </w:rPr>
        <w:t> </w:t>
      </w:r>
      <w:r>
        <w:rPr>
          <w:sz w:val="24"/>
        </w:rPr>
        <w:t>in </w:t>
      </w:r>
      <w:r>
        <w:rPr>
          <w:i/>
          <w:sz w:val="24"/>
        </w:rPr>
        <w:t>Measurement</w:t>
      </w:r>
      <w:r>
        <w:rPr>
          <w:i/>
          <w:spacing w:val="-2"/>
          <w:sz w:val="24"/>
        </w:rPr>
        <w:t> </w:t>
      </w:r>
      <w:r>
        <w:rPr>
          <w:i/>
          <w:sz w:val="24"/>
        </w:rPr>
        <w:t>of</w:t>
      </w:r>
      <w:r>
        <w:rPr>
          <w:i/>
          <w:spacing w:val="-2"/>
          <w:sz w:val="24"/>
        </w:rPr>
        <w:t> </w:t>
      </w:r>
      <w:r>
        <w:rPr>
          <w:i/>
          <w:sz w:val="24"/>
        </w:rPr>
        <w:t>Mechanical Properties, Volume V, Part 1</w:t>
      </w:r>
      <w:r>
        <w:rPr>
          <w:sz w:val="24"/>
        </w:rPr>
        <w:t>, Bunshah</w:t>
      </w:r>
      <w:r>
        <w:rPr>
          <w:spacing w:val="-2"/>
          <w:sz w:val="24"/>
        </w:rPr>
        <w:t> </w:t>
      </w:r>
      <w:r>
        <w:rPr>
          <w:sz w:val="24"/>
        </w:rPr>
        <w:t>R.F., ed. Interscience, New York, NY, 199.</w:t>
      </w:r>
    </w:p>
    <w:p>
      <w:pPr>
        <w:pStyle w:val="BodyText"/>
        <w:spacing w:line="237" w:lineRule="auto"/>
        <w:ind w:left="360" w:hanging="360"/>
      </w:pPr>
      <w:r>
        <w:rPr/>
        <w:t>Log,</w:t>
      </w:r>
      <w:r>
        <w:rPr>
          <w:spacing w:val="-5"/>
        </w:rPr>
        <w:t> </w:t>
      </w:r>
      <w:r>
        <w:rPr/>
        <w:t>T.,</w:t>
      </w:r>
      <w:r>
        <w:rPr>
          <w:spacing w:val="-1"/>
        </w:rPr>
        <w:t> </w:t>
      </w:r>
      <w:r>
        <w:rPr/>
        <w:t>Gustafsson,</w:t>
      </w:r>
      <w:r>
        <w:rPr>
          <w:spacing w:val="-1"/>
        </w:rPr>
        <w:t> </w:t>
      </w:r>
      <w:r>
        <w:rPr/>
        <w:t>S.</w:t>
      </w:r>
      <w:r>
        <w:rPr>
          <w:spacing w:val="-6"/>
        </w:rPr>
        <w:t> </w:t>
      </w:r>
      <w:r>
        <w:rPr/>
        <w:t>(1995).</w:t>
      </w:r>
      <w:r>
        <w:rPr>
          <w:spacing w:val="-1"/>
        </w:rPr>
        <w:t> </w:t>
      </w:r>
      <w:r>
        <w:rPr/>
        <w:t>“Transient Plane</w:t>
      </w:r>
      <w:r>
        <w:rPr>
          <w:spacing w:val="-4"/>
        </w:rPr>
        <w:t> </w:t>
      </w:r>
      <w:r>
        <w:rPr/>
        <w:t>Source</w:t>
      </w:r>
      <w:r>
        <w:rPr>
          <w:spacing w:val="-9"/>
        </w:rPr>
        <w:t> </w:t>
      </w:r>
      <w:r>
        <w:rPr/>
        <w:t>(TPS)</w:t>
      </w:r>
      <w:r>
        <w:rPr>
          <w:spacing w:val="-11"/>
        </w:rPr>
        <w:t> </w:t>
      </w:r>
      <w:r>
        <w:rPr/>
        <w:t>technique for</w:t>
      </w:r>
      <w:r>
        <w:rPr>
          <w:spacing w:val="-2"/>
        </w:rPr>
        <w:t> </w:t>
      </w:r>
      <w:r>
        <w:rPr/>
        <w:t>measuring</w:t>
      </w:r>
      <w:r>
        <w:rPr>
          <w:spacing w:val="-3"/>
        </w:rPr>
        <w:t> </w:t>
      </w:r>
      <w:r>
        <w:rPr/>
        <w:t>thermal transport properties of building material.” </w:t>
      </w:r>
      <w:r>
        <w:rPr>
          <w:i/>
        </w:rPr>
        <w:t>Fire Mater</w:t>
      </w:r>
      <w:r>
        <w:rPr/>
        <w:t>, 19(1), 43–49.</w:t>
      </w:r>
    </w:p>
    <w:p>
      <w:pPr>
        <w:pStyle w:val="BodyText"/>
        <w:spacing w:before="2"/>
      </w:pPr>
      <w:r>
        <w:rPr/>
        <w:t>Oreshkin,</w:t>
      </w:r>
      <w:r>
        <w:rPr>
          <w:spacing w:val="-4"/>
        </w:rPr>
        <w:t> </w:t>
      </w:r>
      <w:r>
        <w:rPr/>
        <w:t>D.,</w:t>
      </w:r>
      <w:r>
        <w:rPr>
          <w:spacing w:val="-1"/>
        </w:rPr>
        <w:t> </w:t>
      </w:r>
      <w:r>
        <w:rPr/>
        <w:t>Semenov,</w:t>
      </w:r>
      <w:r>
        <w:rPr>
          <w:spacing w:val="-2"/>
        </w:rPr>
        <w:t> </w:t>
      </w:r>
      <w:r>
        <w:rPr/>
        <w:t>V.,</w:t>
      </w:r>
      <w:r>
        <w:rPr>
          <w:spacing w:val="-1"/>
        </w:rPr>
        <w:t> </w:t>
      </w:r>
      <w:r>
        <w:rPr/>
        <w:t>Rozovskaya,</w:t>
      </w:r>
      <w:r>
        <w:rPr>
          <w:spacing w:val="-2"/>
        </w:rPr>
        <w:t> </w:t>
      </w:r>
      <w:r>
        <w:rPr/>
        <w:t>T.</w:t>
      </w:r>
      <w:r>
        <w:rPr>
          <w:spacing w:val="-6"/>
        </w:rPr>
        <w:t> </w:t>
      </w:r>
      <w:r>
        <w:rPr/>
        <w:t>(2016).</w:t>
      </w:r>
      <w:r>
        <w:rPr>
          <w:spacing w:val="-1"/>
        </w:rPr>
        <w:t> </w:t>
      </w:r>
      <w:r>
        <w:rPr/>
        <w:t>“Properties</w:t>
      </w:r>
      <w:r>
        <w:rPr>
          <w:spacing w:val="-6"/>
        </w:rPr>
        <w:t> </w:t>
      </w:r>
      <w:r>
        <w:rPr/>
        <w:t>of</w:t>
      </w:r>
      <w:r>
        <w:rPr>
          <w:spacing w:val="-11"/>
        </w:rPr>
        <w:t> </w:t>
      </w:r>
      <w:r>
        <w:rPr/>
        <w:t>Light-weight</w:t>
      </w:r>
      <w:r>
        <w:rPr>
          <w:spacing w:val="2"/>
        </w:rPr>
        <w:t> </w:t>
      </w:r>
      <w:r>
        <w:rPr>
          <w:spacing w:val="-2"/>
        </w:rPr>
        <w:t>Extruded</w:t>
      </w:r>
    </w:p>
    <w:p>
      <w:pPr>
        <w:pStyle w:val="BodyText"/>
        <w:spacing w:after="0"/>
        <w:sectPr>
          <w:pgSz w:w="12240" w:h="15840"/>
          <w:pgMar w:header="720" w:footer="746" w:top="1340" w:bottom="940" w:left="1440" w:right="1080"/>
        </w:sectPr>
      </w:pPr>
    </w:p>
    <w:p>
      <w:pPr>
        <w:pStyle w:val="BodyText"/>
        <w:spacing w:line="275" w:lineRule="exact" w:before="80"/>
        <w:ind w:left="360"/>
      </w:pPr>
      <w:r>
        <w:rPr/>
        <mc:AlternateContent>
          <mc:Choice Requires="wps">
            <w:drawing>
              <wp:anchor distT="0" distB="0" distL="0" distR="0" allowOverlap="1" layoutInCell="1" locked="0" behindDoc="0" simplePos="0" relativeHeight="15743488">
                <wp:simplePos x="0" y="0"/>
                <wp:positionH relativeFrom="page">
                  <wp:posOffset>-1637</wp:posOffset>
                </wp:positionH>
                <wp:positionV relativeFrom="page">
                  <wp:posOffset>2272607</wp:posOffset>
                </wp:positionV>
                <wp:extent cx="138430" cy="551370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43488" type="#_x0000_t202" id="docshape31"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Concrete</w:t>
      </w:r>
      <w:r>
        <w:rPr>
          <w:spacing w:val="-4"/>
        </w:rPr>
        <w:t> </w:t>
      </w:r>
      <w:r>
        <w:rPr/>
        <w:t>with</w:t>
      </w:r>
      <w:r>
        <w:rPr>
          <w:spacing w:val="-6"/>
        </w:rPr>
        <w:t> </w:t>
      </w:r>
      <w:r>
        <w:rPr/>
        <w:t>Hollow</w:t>
      </w:r>
      <w:r>
        <w:rPr>
          <w:spacing w:val="-3"/>
        </w:rPr>
        <w:t> </w:t>
      </w:r>
      <w:r>
        <w:rPr/>
        <w:t>Glass</w:t>
      </w:r>
      <w:r>
        <w:rPr>
          <w:spacing w:val="-4"/>
        </w:rPr>
        <w:t> </w:t>
      </w:r>
      <w:r>
        <w:rPr/>
        <w:t>Microspheres.”</w:t>
      </w:r>
      <w:r>
        <w:rPr>
          <w:spacing w:val="1"/>
        </w:rPr>
        <w:t> </w:t>
      </w:r>
      <w:r>
        <w:rPr>
          <w:i/>
        </w:rPr>
        <w:t>Procedia</w:t>
      </w:r>
      <w:r>
        <w:rPr>
          <w:i/>
          <w:spacing w:val="-1"/>
        </w:rPr>
        <w:t> </w:t>
      </w:r>
      <w:r>
        <w:rPr>
          <w:i/>
        </w:rPr>
        <w:t>Eng</w:t>
      </w:r>
      <w:r>
        <w:rPr/>
        <w:t>, 153,</w:t>
      </w:r>
      <w:r>
        <w:rPr>
          <w:spacing w:val="2"/>
        </w:rPr>
        <w:t> </w:t>
      </w:r>
      <w:r>
        <w:rPr>
          <w:spacing w:val="-2"/>
        </w:rPr>
        <w:t>638–643.</w:t>
      </w:r>
    </w:p>
    <w:p>
      <w:pPr>
        <w:pStyle w:val="BodyText"/>
        <w:spacing w:line="242" w:lineRule="auto"/>
        <w:ind w:left="360" w:right="391" w:hanging="360"/>
      </w:pPr>
      <w:r>
        <w:rPr/>
        <w:t>Wu, P.,</w:t>
      </w:r>
      <w:r>
        <w:rPr>
          <w:spacing w:val="-5"/>
        </w:rPr>
        <w:t> </w:t>
      </w:r>
      <w:r>
        <w:rPr/>
        <w:t>Wang, J., Wang, X.</w:t>
      </w:r>
      <w:r>
        <w:rPr>
          <w:spacing w:val="-1"/>
        </w:rPr>
        <w:t> </w:t>
      </w:r>
      <w:r>
        <w:rPr/>
        <w:t>(2016). “A</w:t>
      </w:r>
      <w:r>
        <w:rPr>
          <w:spacing w:val="-7"/>
        </w:rPr>
        <w:t> </w:t>
      </w:r>
      <w:r>
        <w:rPr/>
        <w:t>critical</w:t>
      </w:r>
      <w:r>
        <w:rPr>
          <w:spacing w:val="-7"/>
        </w:rPr>
        <w:t> </w:t>
      </w:r>
      <w:r>
        <w:rPr/>
        <w:t>review</w:t>
      </w:r>
      <w:r>
        <w:rPr>
          <w:spacing w:val="-3"/>
        </w:rPr>
        <w:t> </w:t>
      </w:r>
      <w:r>
        <w:rPr/>
        <w:t>of</w:t>
      </w:r>
      <w:r>
        <w:rPr>
          <w:spacing w:val="-9"/>
        </w:rPr>
        <w:t> </w:t>
      </w:r>
      <w:r>
        <w:rPr/>
        <w:t>the</w:t>
      </w:r>
      <w:r>
        <w:rPr>
          <w:spacing w:val="-3"/>
        </w:rPr>
        <w:t> </w:t>
      </w:r>
      <w:r>
        <w:rPr/>
        <w:t>use</w:t>
      </w:r>
      <w:r>
        <w:rPr>
          <w:spacing w:val="-3"/>
        </w:rPr>
        <w:t> </w:t>
      </w:r>
      <w:r>
        <w:rPr/>
        <w:t>of</w:t>
      </w:r>
      <w:r>
        <w:rPr>
          <w:spacing w:val="-9"/>
        </w:rPr>
        <w:t> </w:t>
      </w:r>
      <w:r>
        <w:rPr/>
        <w:t>3-D</w:t>
      </w:r>
      <w:r>
        <w:rPr>
          <w:spacing w:val="-3"/>
        </w:rPr>
        <w:t> </w:t>
      </w:r>
      <w:r>
        <w:rPr/>
        <w:t>printing in</w:t>
      </w:r>
      <w:r>
        <w:rPr>
          <w:spacing w:val="-7"/>
        </w:rPr>
        <w:t> </w:t>
      </w:r>
      <w:r>
        <w:rPr/>
        <w:t>the construction industry”. </w:t>
      </w:r>
      <w:r>
        <w:rPr>
          <w:i/>
        </w:rPr>
        <w:t>Autom Constr, </w:t>
      </w:r>
      <w:r>
        <w:rPr/>
        <w:t>68, 21-31.</w:t>
      </w:r>
    </w:p>
    <w:p>
      <w:pPr>
        <w:pStyle w:val="BodyText"/>
        <w:spacing w:line="242" w:lineRule="auto"/>
        <w:ind w:left="360" w:right="391" w:hanging="360"/>
      </w:pPr>
      <w:r>
        <w:rPr/>
        <w:t>Yasar,</w:t>
      </w:r>
      <w:r>
        <w:rPr>
          <w:spacing w:val="-1"/>
        </w:rPr>
        <w:t> </w:t>
      </w:r>
      <w:r>
        <w:rPr/>
        <w:t>E.,</w:t>
      </w:r>
      <w:r>
        <w:rPr>
          <w:spacing w:val="-1"/>
        </w:rPr>
        <w:t> </w:t>
      </w:r>
      <w:r>
        <w:rPr/>
        <w:t>Atis,</w:t>
      </w:r>
      <w:r>
        <w:rPr>
          <w:spacing w:val="-1"/>
        </w:rPr>
        <w:t> </w:t>
      </w:r>
      <w:r>
        <w:rPr/>
        <w:t>C.D.,</w:t>
      </w:r>
      <w:r>
        <w:rPr>
          <w:spacing w:val="-6"/>
        </w:rPr>
        <w:t> </w:t>
      </w:r>
      <w:r>
        <w:rPr/>
        <w:t>Kilic,</w:t>
      </w:r>
      <w:r>
        <w:rPr>
          <w:spacing w:val="-1"/>
        </w:rPr>
        <w:t> </w:t>
      </w:r>
      <w:r>
        <w:rPr/>
        <w:t>A.,</w:t>
      </w:r>
      <w:r>
        <w:rPr>
          <w:spacing w:val="-1"/>
        </w:rPr>
        <w:t> </w:t>
      </w:r>
      <w:r>
        <w:rPr/>
        <w:t>Gulsen,</w:t>
      </w:r>
      <w:r>
        <w:rPr>
          <w:spacing w:val="-1"/>
        </w:rPr>
        <w:t> </w:t>
      </w:r>
      <w:r>
        <w:rPr/>
        <w:t>H.</w:t>
      </w:r>
      <w:r>
        <w:rPr>
          <w:spacing w:val="-6"/>
        </w:rPr>
        <w:t> </w:t>
      </w:r>
      <w:r>
        <w:rPr/>
        <w:t>(2003).</w:t>
      </w:r>
      <w:r>
        <w:rPr>
          <w:spacing w:val="-6"/>
        </w:rPr>
        <w:t> </w:t>
      </w:r>
      <w:r>
        <w:rPr/>
        <w:t>“Strength</w:t>
      </w:r>
      <w:r>
        <w:rPr>
          <w:spacing w:val="-8"/>
        </w:rPr>
        <w:t> </w:t>
      </w:r>
      <w:r>
        <w:rPr/>
        <w:t>properties</w:t>
      </w:r>
      <w:r>
        <w:rPr>
          <w:spacing w:val="-6"/>
        </w:rPr>
        <w:t> </w:t>
      </w:r>
      <w:r>
        <w:rPr/>
        <w:t>of</w:t>
      </w:r>
      <w:r>
        <w:rPr>
          <w:spacing w:val="-6"/>
        </w:rPr>
        <w:t> </w:t>
      </w:r>
      <w:r>
        <w:rPr/>
        <w:t>lightweight concrete made with basaltic pumice and fly ash.” </w:t>
      </w:r>
      <w:r>
        <w:rPr>
          <w:i/>
        </w:rPr>
        <w:t>Mater Lett</w:t>
      </w:r>
      <w:r>
        <w:rPr/>
        <w:t>, 57(15), 2267–2270.</w:t>
      </w:r>
    </w:p>
    <w:p>
      <w:pPr>
        <w:pStyle w:val="BodyText"/>
        <w:spacing w:line="242" w:lineRule="auto"/>
        <w:ind w:left="360" w:hanging="360"/>
      </w:pPr>
      <w:r>
        <w:rPr/>
        <w:t>Zhang,</w:t>
      </w:r>
      <w:r>
        <w:rPr>
          <w:spacing w:val="-2"/>
        </w:rPr>
        <w:t> </w:t>
      </w:r>
      <w:r>
        <w:rPr/>
        <w:t>Q.,</w:t>
      </w:r>
      <w:r>
        <w:rPr>
          <w:spacing w:val="-7"/>
        </w:rPr>
        <w:t> </w:t>
      </w:r>
      <w:r>
        <w:rPr/>
        <w:t>Li,</w:t>
      </w:r>
      <w:r>
        <w:rPr>
          <w:spacing w:val="-2"/>
        </w:rPr>
        <w:t> </w:t>
      </w:r>
      <w:r>
        <w:rPr/>
        <w:t>V.C.</w:t>
      </w:r>
      <w:r>
        <w:rPr>
          <w:spacing w:val="-7"/>
        </w:rPr>
        <w:t> </w:t>
      </w:r>
      <w:r>
        <w:rPr/>
        <w:t>(2015).</w:t>
      </w:r>
      <w:r>
        <w:rPr>
          <w:spacing w:val="-2"/>
        </w:rPr>
        <w:t> </w:t>
      </w:r>
      <w:r>
        <w:rPr/>
        <w:t>“Development</w:t>
      </w:r>
      <w:r>
        <w:rPr>
          <w:spacing w:val="-4"/>
        </w:rPr>
        <w:t> </w:t>
      </w:r>
      <w:r>
        <w:rPr/>
        <w:t>of</w:t>
      </w:r>
      <w:r>
        <w:rPr>
          <w:spacing w:val="-11"/>
        </w:rPr>
        <w:t> </w:t>
      </w:r>
      <w:r>
        <w:rPr/>
        <w:t>durable</w:t>
      </w:r>
      <w:r>
        <w:rPr>
          <w:spacing w:val="-5"/>
        </w:rPr>
        <w:t> </w:t>
      </w:r>
      <w:r>
        <w:rPr/>
        <w:t>spray-applied fire-resistive</w:t>
      </w:r>
      <w:r>
        <w:rPr>
          <w:spacing w:val="-5"/>
        </w:rPr>
        <w:t> </w:t>
      </w:r>
      <w:r>
        <w:rPr/>
        <w:t>Engineered Cementitious Composites (SFR-ECC).” </w:t>
      </w:r>
      <w:r>
        <w:rPr>
          <w:i/>
        </w:rPr>
        <w:t>Cem Concr Compos, </w:t>
      </w:r>
      <w:r>
        <w:rPr/>
        <w:t>60, 10–16.</w:t>
      </w:r>
    </w:p>
    <w:p>
      <w:pPr>
        <w:pStyle w:val="BodyText"/>
        <w:spacing w:line="271" w:lineRule="exact"/>
      </w:pPr>
      <w:r>
        <w:rPr/>
        <w:t>3M.</w:t>
      </w:r>
      <w:r>
        <w:rPr>
          <w:spacing w:val="-3"/>
        </w:rPr>
        <w:t> </w:t>
      </w:r>
      <w:r>
        <w:rPr/>
        <w:t>(2009).</w:t>
      </w:r>
      <w:r>
        <w:rPr>
          <w:spacing w:val="-1"/>
        </w:rPr>
        <w:t> </w:t>
      </w:r>
      <w:r>
        <w:rPr/>
        <w:t>“Product</w:t>
      </w:r>
      <w:r>
        <w:rPr>
          <w:spacing w:val="2"/>
        </w:rPr>
        <w:t> </w:t>
      </w:r>
      <w:r>
        <w:rPr/>
        <w:t>Information:</w:t>
      </w:r>
      <w:r>
        <w:rPr>
          <w:spacing w:val="-3"/>
        </w:rPr>
        <w:t> </w:t>
      </w:r>
      <w:r>
        <w:rPr/>
        <w:t>3M</w:t>
      </w:r>
      <w:r>
        <w:rPr>
          <w:spacing w:val="-5"/>
        </w:rPr>
        <w:t> </w:t>
      </w:r>
      <w:r>
        <w:rPr/>
        <w:t>Glass</w:t>
      </w:r>
      <w:r>
        <w:rPr>
          <w:spacing w:val="-6"/>
        </w:rPr>
        <w:t> </w:t>
      </w:r>
      <w:r>
        <w:rPr/>
        <w:t>Bubbles</w:t>
      </w:r>
      <w:r>
        <w:rPr>
          <w:spacing w:val="-5"/>
        </w:rPr>
        <w:t> </w:t>
      </w:r>
      <w:r>
        <w:rPr/>
        <w:t>K</w:t>
      </w:r>
      <w:r>
        <w:rPr>
          <w:spacing w:val="-9"/>
        </w:rPr>
        <w:t> </w:t>
      </w:r>
      <w:r>
        <w:rPr/>
        <w:t>Series, S</w:t>
      </w:r>
      <w:r>
        <w:rPr>
          <w:spacing w:val="-3"/>
        </w:rPr>
        <w:t> </w:t>
      </w:r>
      <w:r>
        <w:rPr/>
        <w:t>Series</w:t>
      </w:r>
      <w:r>
        <w:rPr>
          <w:spacing w:val="-6"/>
        </w:rPr>
        <w:t> </w:t>
      </w:r>
      <w:r>
        <w:rPr/>
        <w:t>and</w:t>
      </w:r>
      <w:r>
        <w:rPr>
          <w:spacing w:val="1"/>
        </w:rPr>
        <w:t> </w:t>
      </w:r>
      <w:r>
        <w:rPr/>
        <w:t>iM</w:t>
      </w:r>
      <w:r>
        <w:rPr>
          <w:spacing w:val="-5"/>
        </w:rPr>
        <w:t> </w:t>
      </w:r>
      <w:r>
        <w:rPr/>
        <w:t>Series.”</w:t>
      </w:r>
      <w:r>
        <w:rPr>
          <w:spacing w:val="-4"/>
        </w:rPr>
        <w:t> </w:t>
      </w:r>
      <w:r>
        <w:rPr/>
        <w:t>3M, </w:t>
      </w:r>
      <w:r>
        <w:rPr>
          <w:spacing w:val="-5"/>
        </w:rPr>
        <w:t>St.</w:t>
      </w:r>
    </w:p>
    <w:p>
      <w:pPr>
        <w:pStyle w:val="BodyText"/>
        <w:ind w:left="360"/>
      </w:pPr>
      <w:r>
        <w:rPr/>
        <w:t>Paul,</w:t>
      </w:r>
      <w:r>
        <w:rPr>
          <w:spacing w:val="-5"/>
        </w:rPr>
        <w:t> MN</w:t>
      </w:r>
    </w:p>
    <w:sectPr>
      <w:pgSz w:w="12240" w:h="15840"/>
      <w:pgMar w:header="720" w:footer="746" w:top="1340" w:bottom="9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6208">
              <wp:simplePos x="0" y="0"/>
              <wp:positionH relativeFrom="page">
                <wp:posOffset>444804</wp:posOffset>
              </wp:positionH>
              <wp:positionV relativeFrom="page">
                <wp:posOffset>9444873</wp:posOffset>
              </wp:positionV>
              <wp:extent cx="507365" cy="168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7365" cy="168910"/>
                      </a:xfrm>
                      <a:prstGeom prst="rect">
                        <a:avLst/>
                      </a:prstGeom>
                    </wps:spPr>
                    <wps:txbx>
                      <w:txbxContent>
                        <w:p>
                          <w:pPr>
                            <w:spacing w:before="15"/>
                            <w:ind w:left="20" w:right="0" w:firstLine="0"/>
                            <w:jc w:val="left"/>
                            <w:rPr>
                              <w:rFonts w:ascii="Arial" w:hAnsi="Arial"/>
                              <w:b/>
                              <w:sz w:val="20"/>
                            </w:rPr>
                          </w:pPr>
                          <w:r>
                            <w:rPr>
                              <w:rFonts w:ascii="Arial" w:hAnsi="Arial"/>
                              <w:b/>
                              <w:sz w:val="20"/>
                            </w:rPr>
                            <w:t>©</w:t>
                          </w:r>
                          <w:r>
                            <w:rPr>
                              <w:rFonts w:ascii="Arial" w:hAnsi="Arial"/>
                              <w:b/>
                              <w:spacing w:val="2"/>
                              <w:sz w:val="20"/>
                            </w:rPr>
                            <w:t> </w:t>
                          </w:r>
                          <w:r>
                            <w:rPr>
                              <w:rFonts w:ascii="Arial" w:hAnsi="Arial"/>
                              <w:b/>
                              <w:spacing w:val="-4"/>
                              <w:sz w:val="20"/>
                            </w:rPr>
                            <w:t>ASCE</w:t>
                          </w:r>
                        </w:p>
                      </w:txbxContent>
                    </wps:txbx>
                    <wps:bodyPr wrap="square" lIns="0" tIns="0" rIns="0" bIns="0" rtlCol="0">
                      <a:noAutofit/>
                    </wps:bodyPr>
                  </wps:wsp>
                </a:graphicData>
              </a:graphic>
            </wp:anchor>
          </w:drawing>
        </mc:Choice>
        <mc:Fallback>
          <w:pict>
            <v:shape style="position:absolute;margin-left:35.023998pt;margin-top:743.690857pt;width:39.950pt;height:13.3pt;mso-position-horizontal-relative:page;mso-position-vertical-relative:page;z-index:-16310272" type="#_x0000_t202" id="docshape3" filled="false" stroked="false">
              <v:textbox inset="0,0,0,0">
                <w:txbxContent>
                  <w:p>
                    <w:pPr>
                      <w:spacing w:before="15"/>
                      <w:ind w:left="20" w:right="0" w:firstLine="0"/>
                      <w:jc w:val="left"/>
                      <w:rPr>
                        <w:rFonts w:ascii="Arial" w:hAnsi="Arial"/>
                        <w:b/>
                        <w:sz w:val="20"/>
                      </w:rPr>
                    </w:pPr>
                    <w:r>
                      <w:rPr>
                        <w:rFonts w:ascii="Arial" w:hAnsi="Arial"/>
                        <w:b/>
                        <w:sz w:val="20"/>
                      </w:rPr>
                      <w:t>©</w:t>
                    </w:r>
                    <w:r>
                      <w:rPr>
                        <w:rFonts w:ascii="Arial" w:hAnsi="Arial"/>
                        <w:b/>
                        <w:spacing w:val="2"/>
                        <w:sz w:val="20"/>
                      </w:rPr>
                      <w:t> </w:t>
                    </w:r>
                    <w:r>
                      <w:rPr>
                        <w:rFonts w:ascii="Arial" w:hAnsi="Arial"/>
                        <w:b/>
                        <w:spacing w:val="-4"/>
                        <w:sz w:val="20"/>
                      </w:rPr>
                      <w:t>ASCE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6720">
              <wp:simplePos x="0" y="0"/>
              <wp:positionH relativeFrom="page">
                <wp:posOffset>3429127</wp:posOffset>
              </wp:positionH>
              <wp:positionV relativeFrom="page">
                <wp:posOffset>9904362</wp:posOffset>
              </wp:positionV>
              <wp:extent cx="914400" cy="1384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14400" cy="138430"/>
                      </a:xfrm>
                      <a:prstGeom prst="rect">
                        <a:avLst/>
                      </a:prstGeom>
                    </wps:spPr>
                    <wps:txbx>
                      <w:txbxContent>
                        <w:p>
                          <w:pPr>
                            <w:spacing w:before="13"/>
                            <w:ind w:left="20" w:right="0" w:firstLine="0"/>
                            <w:jc w:val="left"/>
                            <w:rPr>
                              <w:sz w:val="16"/>
                            </w:rPr>
                          </w:pPr>
                          <w:r>
                            <w:rPr>
                              <w:sz w:val="16"/>
                            </w:rPr>
                            <w:t>Earth and Space </w:t>
                          </w:r>
                          <w:r>
                            <w:rPr>
                              <w:spacing w:val="-4"/>
                              <w:sz w:val="16"/>
                            </w:rPr>
                            <w:t>2018</w:t>
                          </w:r>
                        </w:p>
                      </w:txbxContent>
                    </wps:txbx>
                    <wps:bodyPr wrap="square" lIns="0" tIns="0" rIns="0" bIns="0" rtlCol="0">
                      <a:noAutofit/>
                    </wps:bodyPr>
                  </wps:wsp>
                </a:graphicData>
              </a:graphic>
            </wp:anchor>
          </w:drawing>
        </mc:Choice>
        <mc:Fallback>
          <w:pict>
            <v:shape style="position:absolute;margin-left:270.010010pt;margin-top:779.871094pt;width:72pt;height:10.9pt;mso-position-horizontal-relative:page;mso-position-vertical-relative:page;z-index:-16309760" type="#_x0000_t202" id="docshape4" filled="false" stroked="false">
              <v:textbox inset="0,0,0,0">
                <w:txbxContent>
                  <w:p>
                    <w:pPr>
                      <w:spacing w:before="13"/>
                      <w:ind w:left="20" w:right="0" w:firstLine="0"/>
                      <w:jc w:val="left"/>
                      <w:rPr>
                        <w:sz w:val="16"/>
                      </w:rPr>
                    </w:pPr>
                    <w:r>
                      <w:rPr>
                        <w:sz w:val="16"/>
                      </w:rPr>
                      <w:t>Earth and Space </w:t>
                    </w:r>
                    <w:r>
                      <w:rPr>
                        <w:spacing w:val="-4"/>
                        <w:sz w:val="16"/>
                      </w:rPr>
                      <w:t>2018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5184">
              <wp:simplePos x="0" y="0"/>
              <wp:positionH relativeFrom="page">
                <wp:posOffset>444804</wp:posOffset>
              </wp:positionH>
              <wp:positionV relativeFrom="page">
                <wp:posOffset>444688</wp:posOffset>
              </wp:positionV>
              <wp:extent cx="1340485"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40485" cy="168910"/>
                      </a:xfrm>
                      <a:prstGeom prst="rect">
                        <a:avLst/>
                      </a:prstGeom>
                    </wps:spPr>
                    <wps:txbx>
                      <w:txbxContent>
                        <w:p>
                          <w:pPr>
                            <w:spacing w:before="15"/>
                            <w:ind w:left="20" w:right="0" w:firstLine="0"/>
                            <w:jc w:val="left"/>
                            <w:rPr>
                              <w:rFonts w:ascii="Arial"/>
                              <w:b/>
                              <w:sz w:val="20"/>
                            </w:rPr>
                          </w:pPr>
                          <w:r>
                            <w:rPr>
                              <w:rFonts w:ascii="Arial"/>
                              <w:b/>
                              <w:color w:val="253138"/>
                              <w:sz w:val="20"/>
                            </w:rPr>
                            <w:t>Earth</w:t>
                          </w:r>
                          <w:r>
                            <w:rPr>
                              <w:rFonts w:ascii="Arial"/>
                              <w:b/>
                              <w:color w:val="253138"/>
                              <w:spacing w:val="-2"/>
                              <w:sz w:val="20"/>
                            </w:rPr>
                            <w:t> </w:t>
                          </w:r>
                          <w:r>
                            <w:rPr>
                              <w:rFonts w:ascii="Arial"/>
                              <w:b/>
                              <w:color w:val="253138"/>
                              <w:sz w:val="20"/>
                            </w:rPr>
                            <w:t>and</w:t>
                          </w:r>
                          <w:r>
                            <w:rPr>
                              <w:rFonts w:ascii="Arial"/>
                              <w:b/>
                              <w:color w:val="253138"/>
                              <w:spacing w:val="-6"/>
                              <w:sz w:val="20"/>
                            </w:rPr>
                            <w:t> </w:t>
                          </w:r>
                          <w:r>
                            <w:rPr>
                              <w:rFonts w:ascii="Arial"/>
                              <w:b/>
                              <w:color w:val="253138"/>
                              <w:sz w:val="20"/>
                            </w:rPr>
                            <w:t>Space</w:t>
                          </w:r>
                          <w:r>
                            <w:rPr>
                              <w:rFonts w:ascii="Arial"/>
                              <w:b/>
                              <w:color w:val="253138"/>
                              <w:spacing w:val="-4"/>
                              <w:sz w:val="20"/>
                            </w:rPr>
                            <w:t> 2018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023998pt;margin-top:35.014843pt;width:105.55pt;height:13.3pt;mso-position-horizontal-relative:page;mso-position-vertical-relative:page;z-index:-16311296" type="#_x0000_t202" id="docshape1" filled="false" stroked="false">
              <v:textbox inset="0,0,0,0">
                <w:txbxContent>
                  <w:p>
                    <w:pPr>
                      <w:spacing w:before="15"/>
                      <w:ind w:left="20" w:right="0" w:firstLine="0"/>
                      <w:jc w:val="left"/>
                      <w:rPr>
                        <w:rFonts w:ascii="Arial"/>
                        <w:b/>
                        <w:sz w:val="20"/>
                      </w:rPr>
                    </w:pPr>
                    <w:r>
                      <w:rPr>
                        <w:rFonts w:ascii="Arial"/>
                        <w:b/>
                        <w:color w:val="253138"/>
                        <w:sz w:val="20"/>
                      </w:rPr>
                      <w:t>Earth</w:t>
                    </w:r>
                    <w:r>
                      <w:rPr>
                        <w:rFonts w:ascii="Arial"/>
                        <w:b/>
                        <w:color w:val="253138"/>
                        <w:spacing w:val="-2"/>
                        <w:sz w:val="20"/>
                      </w:rPr>
                      <w:t> </w:t>
                    </w:r>
                    <w:r>
                      <w:rPr>
                        <w:rFonts w:ascii="Arial"/>
                        <w:b/>
                        <w:color w:val="253138"/>
                        <w:sz w:val="20"/>
                      </w:rPr>
                      <w:t>and</w:t>
                    </w:r>
                    <w:r>
                      <w:rPr>
                        <w:rFonts w:ascii="Arial"/>
                        <w:b/>
                        <w:color w:val="253138"/>
                        <w:spacing w:val="-6"/>
                        <w:sz w:val="20"/>
                      </w:rPr>
                      <w:t> </w:t>
                    </w:r>
                    <w:r>
                      <w:rPr>
                        <w:rFonts w:ascii="Arial"/>
                        <w:b/>
                        <w:color w:val="253138"/>
                        <w:sz w:val="20"/>
                      </w:rPr>
                      <w:t>Space</w:t>
                    </w:r>
                    <w:r>
                      <w:rPr>
                        <w:rFonts w:ascii="Arial"/>
                        <w:b/>
                        <w:color w:val="253138"/>
                        <w:spacing w:val="-4"/>
                        <w:sz w:val="20"/>
                      </w:rPr>
                      <w:t> 2018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5696">
              <wp:simplePos x="0" y="0"/>
              <wp:positionH relativeFrom="page">
                <wp:posOffset>7066533</wp:posOffset>
              </wp:positionH>
              <wp:positionV relativeFrom="page">
                <wp:posOffset>444688</wp:posOffset>
              </wp:positionV>
              <wp:extent cx="299720"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99720" cy="168910"/>
                      </a:xfrm>
                      <a:prstGeom prst="rect">
                        <a:avLst/>
                      </a:prstGeom>
                    </wps:spPr>
                    <wps:txbx>
                      <w:txbxContent>
                        <w:p>
                          <w:pPr>
                            <w:spacing w:before="15"/>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600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56.419983pt;margin-top:35.014843pt;width:23.6pt;height:13.3pt;mso-position-horizontal-relative:page;mso-position-vertical-relative:page;z-index:-16310784" type="#_x0000_t202" id="docshape2" filled="false" stroked="false">
              <v:textbox inset="0,0,0,0">
                <w:txbxContent>
                  <w:p>
                    <w:pPr>
                      <w:spacing w:before="15"/>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600</w:t>
                    </w:r>
                    <w:r>
                      <w:rPr>
                        <w:rFonts w:ascii="Arial"/>
                        <w:b/>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20" w:hanging="361"/>
      </w:pPr>
      <w:rPr>
        <w:rFonts w:hint="default"/>
        <w:lang w:val="en-US" w:eastAsia="en-US" w:bidi="ar-SA"/>
      </w:rPr>
    </w:lvl>
    <w:lvl w:ilvl="2">
      <w:start w:val="0"/>
      <w:numFmt w:val="bullet"/>
      <w:lvlText w:val="•"/>
      <w:lvlJc w:val="left"/>
      <w:pPr>
        <w:ind w:left="2520" w:hanging="361"/>
      </w:pPr>
      <w:rPr>
        <w:rFonts w:hint="default"/>
        <w:lang w:val="en-US" w:eastAsia="en-US" w:bidi="ar-SA"/>
      </w:rPr>
    </w:lvl>
    <w:lvl w:ilvl="3">
      <w:start w:val="0"/>
      <w:numFmt w:val="bullet"/>
      <w:lvlText w:val="•"/>
      <w:lvlJc w:val="left"/>
      <w:pPr>
        <w:ind w:left="342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020" w:hanging="361"/>
      </w:pPr>
      <w:rPr>
        <w:rFonts w:hint="default"/>
        <w:lang w:val="en-US" w:eastAsia="en-US" w:bidi="ar-SA"/>
      </w:rPr>
    </w:lvl>
    <w:lvl w:ilvl="8">
      <w:start w:val="0"/>
      <w:numFmt w:val="bullet"/>
      <w:lvlText w:val="•"/>
      <w:lvlJc w:val="left"/>
      <w:pPr>
        <w:ind w:left="792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07"/>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1" w:right="375"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5" w:lineRule="exact"/>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hz0009@uah.edu" TargetMode="Externa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Hongyu Zhou1; Adam L. Brooks2; Dominic Hanna3; and Babak Salarieh41Dept. of Civil and Environmental Engineering, Univ. of Alabama in Huntsville, Huntsville, AL 35758, USA (corresponding author). E-mail: hz0009@uah.edu2Dept. of Civil and Environmental Engineering, Univ. of Alabama in Huntsville, Huntsville, AL 35758, USA3Dept. of Civil and Environmental Engineering, Univ. of Alabama in Huntsville, Huntsville, AL 35758, USA4Dept. of Civil and Environmental Engineering, Univ. of Alabama in Huntsville, Huntsville, AL 35758, USA</dc:creator>
  <dc:title>Thermal and Mechanical Properties of Cementitious Composites for Additive Construction of Energy-Saving Habitats</dc:title>
  <dcterms:created xsi:type="dcterms:W3CDTF">2026-04-19T01:31:43Z</dcterms:created>
  <dcterms:modified xsi:type="dcterms:W3CDTF">2026-04-19T01:31:43Z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2018-09-21T00:00:00Z</vt:filetime>
  </property>
  <property fmtid="{D5CDD505-2E9C-101B-9397-08002B2CF9AE}" pid="3" name="Creator">
    <vt:lpwstr>ABBYY FineReader 14</vt:lpwstr>
  </property>
  <property fmtid="{D5CDD505-2E9C-101B-9397-08002B2CF9AE}" pid="4" name="LastSaved">
    <vt:filetime>2026-04-19T00:00:00Z</vt:filetime>
  </property>
  <property fmtid="{D5CDD505-2E9C-101B-9397-08002B2CF9AE}" pid="5" name="Producer">
    <vt:lpwstr>ABBYY FineReader 14; modified using iText 4.2.0 by 1T3XT</vt:lpwstr>
  </property>
</Properties>
</file>