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Customer-Specific Supplement </w:t>
      </w:r>
    </w:p>
    <w:p>
      <w:pPr>
        <w:spacing w:before="240" w:after="240"/>
      </w:pPr>
      <w:r>
        <w:t xml:space="preserve">The terms of the client-Specific Supplement ("Customer-Specific Supplement") below supplement and amend the client's Contract (as outlined in our client Terms of Service) if the Customer falls into the corresponding class of Customer. If there's any conflict between the Customer-Specific Supplement and therefore the Contract, the applicable terms within the Customer-Specific Supplement can prevail. Nothing throughout this Customer-Specific Supplement makes North yank country a government contractor for any federal, state, local, or foreign government. </w:t>
      </w:r>
    </w:p>
    <w:p>
      <w:pPr>
        <w:spacing w:before="240" w:after="240"/>
      </w:pPr>
      <w:r>
        <w:t xml:space="preserve">U.S. Government Customers </w:t>
      </w:r>
    </w:p>
    <w:p>
      <w:pPr>
        <w:spacing w:before="240" w:after="240"/>
      </w:pPr>
      <w:r>
        <w:t xml:space="preserve">State or regime Customers </w:t>
      </w:r>
    </w:p>
    <w:p>
      <w:pPr>
        <w:spacing w:before="240" w:after="240"/>
      </w:pPr>
      <w:r>
        <w:t xml:space="preserve">Healthcare Customers </w:t>
      </w:r>
    </w:p>
    <w:p>
      <w:pPr>
        <w:spacing w:before="240" w:after="240"/>
      </w:pPr>
      <w:r>
        <w:t xml:space="preserve">Education skilled Customers </w:t>
      </w:r>
    </w:p>
    <w:p>
      <w:pPr>
        <w:spacing w:before="240" w:after="240"/>
      </w:pPr>
      <w:r>
        <w:t xml:space="preserve">Patent Assertion Entities </w:t>
      </w:r>
    </w:p>
    <w:p>
      <w:pPr>
        <w:spacing w:before="240" w:after="240"/>
      </w:pPr>
      <w:r>
        <w:t xml:space="preserve">I. U.S. Government Customers </w:t>
      </w:r>
    </w:p>
    <w:p>
      <w:pPr>
        <w:spacing w:before="240" w:after="240"/>
      </w:pPr>
      <w:r>
        <w:t xml:space="preserve">If the shopper could also be a U.S. government or U.S. public entity (or use of the Services is for the U.S. Government), the terms of the Customer-Specific Supplement throughout this Section I apply. </w:t>
      </w:r>
    </w:p>
    <w:p>
      <w:pPr>
        <w:spacing w:before="240" w:after="240"/>
      </w:pPr>
      <w:r>
        <w:t xml:space="preserve">A. Use by or for the U.S. Government. The Services are a "commercial item," as outlined at forty-eight C.F.R. §2.101, and represent "commercial pc software" and "commercial pc software package," as utilized in forty-eight C.F.R. §12.212 or forty-eight C.F.R. §227.7202 to §227.7204. This industrial pc software package and connected documentation are provided to end-users to be used, by and on behalf of the U.S. Government, with solely those rights as are granted to any or all different finish users in step with the terms and conditions herein. </w:t>
      </w:r>
    </w:p>
    <w:p>
      <w:pPr>
        <w:spacing w:before="240" w:after="240"/>
      </w:pPr>
      <w:r>
        <w:t xml:space="preserve">B. Indemnification, Auto-Renewal, Venue, Legal Fees: The sections within the Contract titled "Governing Law," "Auto-renewal," "Venue; discharge of Jury Trial; Fees," and "Customer's Indemnification of Us" are herewith waived to the extent they're inconsistent with federal law. </w:t>
      </w:r>
    </w:p>
    <w:p>
      <w:pPr>
        <w:spacing w:before="240" w:after="240"/>
      </w:pPr>
      <w:r>
        <w:t xml:space="preserve">C. No Endorsement: we tend to agree that Customer's seals, trademarks, logos, service marks, trade names, and therefore the incontrovertible fact that client includes a presence on one among our Sites and uses our Services, won't be employed by North American country in such a way on the state or imply that our product or services are supported, sponsored or suggested by the client or by the other part of the U.S. Government, or are thought of by client or the U.S. Government to be superior to the other product or services. apart from pages whose style and content is beneath the management of the client, or for links to or promotion of such pages, we tend to agree to not show any client or government seals, trademarks, logos, service marks, and trade names on our homepage or elsewhere on one among our hosted sites unless permission to try to this has been granted by the client or by different relevant federal authority. we tend to could list Customer's name in an exceedingly in public obtainable client list on a web site or elsewhere see you later because the name isn't displayed in an exceedingly a lot of distinguished fashion than that of the other third-party name. </w:t>
      </w:r>
    </w:p>
    <w:p>
      <w:pPr>
        <w:spacing w:before="240" w:after="240"/>
      </w:pPr>
      <w:r>
        <w:t xml:space="preserve">II. State or regime Customers </w:t>
      </w:r>
    </w:p>
    <w:p>
      <w:pPr>
        <w:spacing w:before="240" w:after="240"/>
      </w:pPr>
      <w:r>
        <w:t xml:space="preserve">This Section II applies to the client if the client may be a state or regime, however, solely to the extent, the Services are getting used in a certified User's official capability as a state or regime official. The sections within the Contract titled "Governing Law," "Venue; discharge of Jury Trial; Fees," and "Customer's Indemnification of Us" won't apply to the client solely to the extent client's jurisdiction's laws interdict the Customer from acceptive the wants in those sections. </w:t>
      </w:r>
    </w:p>
    <w:p>
      <w:pPr>
        <w:spacing w:before="240" w:after="240"/>
      </w:pPr>
      <w:r>
        <w:t xml:space="preserve">III. aid Customers </w:t>
      </w:r>
    </w:p>
    <w:p>
      <w:pPr>
        <w:spacing w:before="240" w:after="240"/>
      </w:pPr>
      <w:r>
        <w:t xml:space="preserve">Unless the client has entered into an understanding with Worksson to the contrary, the client acknowledges that Worksson isn't a "Business Associate" as outlined within the insurance movableness and answerableness Act and connected amendments and laws as updated or replaced ("HIPAA") which the Services aren't HIPAA compliant. the shopper shouldn't use, disclose, transmit, or otherwise methodology any "Protected Health Information" as printed in HIPAA ("PHI") through the Services. The client agrees that we tend to cannot support and haven't any liability for letter received from the client, nevertheless something to the contrary herein. </w:t>
      </w:r>
    </w:p>
    <w:p>
      <w:pPr>
        <w:spacing w:before="240" w:after="240"/>
      </w:pPr>
      <w:r>
        <w:t xml:space="preserve">IV. Education skilled Customers </w:t>
      </w:r>
    </w:p>
    <w:p>
      <w:pPr>
        <w:spacing w:before="240" w:after="240"/>
      </w:pPr>
      <w:r>
        <w:t xml:space="preserve">If the client could be a faculty or pedagogue within the U.S and desires its students, UN agency area unit over the age of thirteen, to use the Services, the client is accountable for compliant with the U.S. Family instructional Rights and Privacy Act ("FERPA"). this implies client should advise those students' parents/guardians of the in-person identifiable data that it'll collect and share with the United States of America and procure parental/guardian consent before its students sign in or use the Services. once getting such consent, the client ought to offer parents/guardians a replica of our Privacy Policy. the client should keep all consents on file and supply them to the United States of America if we tend to request them. If the client is found outside of the US., we are going to rely on the client to get any needed consents or approvals from the parent or guardian of any student lined by similar laws and, as a condition to Customer's and its students' use of the Services, the client can adjust to such laws. </w:t>
      </w:r>
    </w:p>
    <w:p>
      <w:pPr>
        <w:spacing w:before="240" w:after="240"/>
      </w:pPr>
      <w:r>
        <w:t xml:space="preserve">V. Patent Assertion Entities </w:t>
      </w:r>
    </w:p>
    <w:p>
      <w:pPr>
        <w:spacing w:before="240" w:after="240"/>
      </w:pPr>
      <w:r>
        <w:t xml:space="preserve">You agree that if the client could be a Patent Assertion Entity or is working on behalf of, or for the advantage of a Patent Assertion Entity, the client won't assert, or authorize, assist, encourage, or modify any third party to say, any claim, or pursue any actions, suits, proceedings, or demands, against Worksson or its affiliates that asseverate that the Services infringe, defalcate, or otherwise violate any belongings rights (including patents). A "Patent Assertion Entity," generally brought up as a 'non-practicing entity' or a 'patent troll,' is (a) any entity that derives or seeks to derive most of its revenue from the offensive assertion of patent rights, or (b) directly or indirectly controls, is controlled by or is below common management with AN entity delineated in (a). This section can survive any termination or expiration of the Contract. </w:t>
      </w:r>
    </w:p>
    <w:p>
      <w:pPr>
        <w:spacing w:before="240" w:after="240"/>
      </w:pPr>
      <w:r>
        <w:t xml:space="preserve">Contacting Worksson </w:t>
      </w:r>
    </w:p>
    <w:p>
      <w:pPr>
        <w:spacing w:before="240" w:after="240"/>
      </w:pPr>
      <w:r>
        <w:t xml:space="preserve">Please additionally be at liberty to contact the United States of America if you have got any questions about Worksson's Customer-Specific Supplement. you'll contact the United States of America at </w:t>
      </w:r>
      <w:hyperlink r:id="rId4" w:history="1">
        <w:r>
          <w:rPr>
            <w:color w:val="0000EE"/>
            <w:u w:val="single" w:color="0000EE"/>
          </w:rPr>
          <w:t>feedback@worksson.com</w:t>
        </w:r>
      </w:hyperlink>
      <w:r>
        <w:t xml:space="preserve"> or at our address below: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feedback@slack.com"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