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d0693177164d547855aaa600a2227cc4d7e1b18"/>
    <w:p>
      <w:pPr>
        <w:pStyle w:val="Heading1"/>
      </w:pPr>
      <w:r>
        <w:t xml:space="preserve">Marlborough, MA Rental Market Analysis (2026)</w:t>
      </w:r>
    </w:p>
    <w:bookmarkStart w:id="21" w:name="introduction"/>
    <w:p>
      <w:pPr>
        <w:pStyle w:val="Heading2"/>
      </w:pPr>
      <w:r>
        <w:t xml:space="preserve">Introduction</w:t>
      </w:r>
    </w:p>
    <w:p>
      <w:pPr>
        <w:pStyle w:val="FirstParagraph"/>
      </w:pPr>
      <w:r>
        <w:t xml:space="preserve">Evaluating rental properties in Marlborough, Massachusetts requires a clear picture of what tenants actually pay today and how those rents vary by housing type. The MLS data you provided contain 591 rental listings covering 2019–2024 and show what investors achieved historically, but those values lag the current market because many new developments have delivered since 2024. To produce realistic underwriting assumptions for 2026, this analysis combines the MLS rental history with current market data from multiple independent sources—Zillow, RentCafe, Rent.com, Realtor.com and Rentometer—and then constructs conservative, moderate and aggressive rent assumptions by bedroom count and property type.</w:t>
      </w:r>
    </w:p>
    <w:bookmarkEnd w:id="21"/>
    <w:bookmarkStart w:id="22" w:name="mls-rental-history"/>
    <w:p>
      <w:pPr>
        <w:pStyle w:val="Heading2"/>
      </w:pPr>
      <w:r>
        <w:t xml:space="preserve">MLS rental history</w:t>
      </w:r>
    </w:p>
    <w:p>
      <w:pPr>
        <w:pStyle w:val="FirstParagraph"/>
      </w:pPr>
      <w:r>
        <w:t xml:space="preserve">The MLS data include 591 rental listings from 2019–2024. After cleaning and standardising the data, each record was assigned a</w:t>
      </w:r>
      <w:r>
        <w:t xml:space="preserve"> </w:t>
      </w:r>
      <w:r>
        <w:rPr>
          <w:b/>
          <w:bCs/>
        </w:rPr>
        <w:t xml:space="preserve">RENT</w:t>
      </w:r>
      <w:r>
        <w:t xml:space="preserve"> </w:t>
      </w:r>
      <w:r>
        <w:t xml:space="preserve">value (the monthly rent from the sold or list price) and a numeric</w:t>
      </w:r>
      <w:r>
        <w:t xml:space="preserve"> </w:t>
      </w:r>
      <w:r>
        <w:rPr>
          <w:b/>
          <w:bCs/>
        </w:rPr>
        <w:t xml:space="preserve">BEDS</w:t>
      </w:r>
      <w:r>
        <w:t xml:space="preserve"> </w:t>
      </w:r>
      <w:r>
        <w:t xml:space="preserve">count. When plotted by bedroom count, the MLS distribution shows that Marlborough historically offered affordable rents compared with 2026 asking rents. The table below summarises key statistics by bedroom count: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Bedroom count</w:t>
            </w:r>
          </w:p>
        </w:tc>
        <w:tc>
          <w:tcPr/>
          <w:p>
            <w:pPr>
              <w:pStyle w:val="Compact"/>
              <w:jc w:val="right"/>
            </w:pPr>
            <w:r>
              <w:t xml:space="preserve">Sample size</w:t>
            </w:r>
          </w:p>
        </w:tc>
        <w:tc>
          <w:tcPr/>
          <w:p>
            <w:pPr>
              <w:pStyle w:val="Compact"/>
              <w:jc w:val="right"/>
            </w:pPr>
            <w:r>
              <w:t xml:space="preserve">Min</w:t>
            </w:r>
          </w:p>
        </w:tc>
        <w:tc>
          <w:tcPr/>
          <w:p>
            <w:pPr>
              <w:pStyle w:val="Compact"/>
              <w:jc w:val="right"/>
            </w:pPr>
            <w:r>
              <w:t xml:space="preserve">25th percentile</w:t>
            </w:r>
          </w:p>
        </w:tc>
        <w:tc>
          <w:tcPr/>
          <w:p>
            <w:pPr>
              <w:pStyle w:val="Compact"/>
              <w:jc w:val="right"/>
            </w:pPr>
            <w:r>
              <w:t xml:space="preserve">Median (MLS)</w:t>
            </w:r>
          </w:p>
        </w:tc>
        <w:tc>
          <w:tcPr/>
          <w:p>
            <w:pPr>
              <w:pStyle w:val="Compact"/>
              <w:jc w:val="right"/>
            </w:pPr>
            <w:r>
              <w:t xml:space="preserve">75th percentile</w:t>
            </w:r>
          </w:p>
        </w:tc>
        <w:tc>
          <w:tcPr/>
          <w:p>
            <w:pPr>
              <w:pStyle w:val="Compact"/>
              <w:jc w:val="right"/>
            </w:pPr>
            <w:r>
              <w:t xml:space="preserve">Max</w:t>
            </w:r>
          </w:p>
        </w:tc>
        <w:tc>
          <w:tcPr/>
          <w:p>
            <w:pPr>
              <w:pStyle w:val="Compact"/>
            </w:pPr>
            <w:r>
              <w:t xml:space="preserve">Notes</w:t>
            </w:r>
          </w:p>
        </w:tc>
      </w:tr>
      <w:tr>
        <w:tc>
          <w:tcPr/>
          <w:p>
            <w:pPr>
              <w:pStyle w:val="Compact"/>
            </w:pPr>
            <w:r>
              <w:rPr>
                <w:b/>
                <w:bCs/>
              </w:rPr>
              <w:t xml:space="preserve">Studio (0 bed)</w:t>
            </w:r>
          </w:p>
        </w:tc>
        <w:tc>
          <w:tcPr/>
          <w:p>
            <w:pPr>
              <w:pStyle w:val="Compact"/>
              <w:jc w:val="right"/>
            </w:pPr>
            <w:r>
              <w:t xml:space="preserve">40</w:t>
            </w:r>
          </w:p>
        </w:tc>
        <w:tc>
          <w:tcPr/>
          <w:p>
            <w:pPr>
              <w:pStyle w:val="Compact"/>
              <w:jc w:val="right"/>
            </w:pPr>
            <w:r>
              <w:t xml:space="preserve">\$800</w:t>
            </w:r>
          </w:p>
        </w:tc>
        <w:tc>
          <w:tcPr/>
          <w:p>
            <w:pPr>
              <w:pStyle w:val="Compact"/>
              <w:jc w:val="right"/>
            </w:pPr>
            <w:r>
              <w:t xml:space="preserve">\$895</w:t>
            </w:r>
          </w:p>
        </w:tc>
        <w:tc>
          <w:tcPr/>
          <w:p>
            <w:pPr>
              <w:pStyle w:val="Compact"/>
              <w:jc w:val="right"/>
            </w:pPr>
            <w:r>
              <w:rPr>
                <w:b/>
                <w:bCs/>
              </w:rPr>
              <w:t xml:space="preserve">\$1,097.50</w:t>
            </w:r>
          </w:p>
        </w:tc>
        <w:tc>
          <w:tcPr/>
          <w:p>
            <w:pPr>
              <w:pStyle w:val="Compact"/>
              <w:jc w:val="right"/>
            </w:pPr>
            <w:r>
              <w:t xml:space="preserve">\$1,250</w:t>
            </w:r>
          </w:p>
        </w:tc>
        <w:tc>
          <w:tcPr/>
          <w:p>
            <w:pPr>
              <w:pStyle w:val="Compact"/>
              <w:jc w:val="right"/>
            </w:pPr>
            <w:r>
              <w:t xml:space="preserve">\$2,900</w:t>
            </w:r>
          </w:p>
        </w:tc>
        <w:tc>
          <w:tcPr/>
          <w:p>
            <w:pPr>
              <w:pStyle w:val="Compact"/>
            </w:pPr>
            <w:r>
              <w:t xml:space="preserve">Mostly older apartment buildings; smallest sample size.</w:t>
            </w:r>
          </w:p>
        </w:tc>
      </w:tr>
      <w:tr>
        <w:tc>
          <w:tcPr/>
          <w:p>
            <w:pPr>
              <w:pStyle w:val="Compact"/>
            </w:pPr>
            <w:r>
              <w:rPr>
                <w:b/>
                <w:bCs/>
              </w:rPr>
              <w:t xml:space="preserve">1 bedroom</w:t>
            </w:r>
          </w:p>
        </w:tc>
        <w:tc>
          <w:tcPr/>
          <w:p>
            <w:pPr>
              <w:pStyle w:val="Compact"/>
              <w:jc w:val="right"/>
            </w:pPr>
            <w:r>
              <w:t xml:space="preserve">133</w:t>
            </w:r>
          </w:p>
        </w:tc>
        <w:tc>
          <w:tcPr/>
          <w:p>
            <w:pPr>
              <w:pStyle w:val="Compact"/>
              <w:jc w:val="right"/>
            </w:pPr>
            <w:r>
              <w:t xml:space="preserve">\$900</w:t>
            </w:r>
          </w:p>
        </w:tc>
        <w:tc>
          <w:tcPr/>
          <w:p>
            <w:pPr>
              <w:pStyle w:val="Compact"/>
              <w:jc w:val="right"/>
            </w:pPr>
            <w:r>
              <w:t xml:space="preserve">\$1,450</w:t>
            </w:r>
          </w:p>
        </w:tc>
        <w:tc>
          <w:tcPr/>
          <w:p>
            <w:pPr>
              <w:pStyle w:val="Compact"/>
              <w:jc w:val="right"/>
            </w:pPr>
            <w:r>
              <w:rPr>
                <w:b/>
                <w:bCs/>
              </w:rPr>
              <w:t xml:space="preserve">\$1,600</w:t>
            </w:r>
          </w:p>
        </w:tc>
        <w:tc>
          <w:tcPr/>
          <w:p>
            <w:pPr>
              <w:pStyle w:val="Compact"/>
              <w:jc w:val="right"/>
            </w:pPr>
            <w:r>
              <w:t xml:space="preserve">\$1,800</w:t>
            </w:r>
          </w:p>
        </w:tc>
        <w:tc>
          <w:tcPr/>
          <w:p>
            <w:pPr>
              <w:pStyle w:val="Compact"/>
              <w:jc w:val="right"/>
            </w:pPr>
            <w:r>
              <w:t xml:space="preserve">\$2,700</w:t>
            </w:r>
          </w:p>
        </w:tc>
        <w:tc>
          <w:tcPr/>
          <w:p>
            <w:pPr>
              <w:pStyle w:val="Compact"/>
            </w:pPr>
            <w:r>
              <w:t xml:space="preserve">Typical one‑bedroom apartments.</w:t>
            </w:r>
          </w:p>
        </w:tc>
      </w:tr>
      <w:tr>
        <w:tc>
          <w:tcPr/>
          <w:p>
            <w:pPr>
              <w:pStyle w:val="Compact"/>
            </w:pPr>
            <w:r>
              <w:rPr>
                <w:b/>
                <w:bCs/>
              </w:rPr>
              <w:t xml:space="preserve">2 bedrooms</w:t>
            </w:r>
          </w:p>
        </w:tc>
        <w:tc>
          <w:tcPr/>
          <w:p>
            <w:pPr>
              <w:pStyle w:val="Compact"/>
              <w:jc w:val="right"/>
            </w:pPr>
            <w:r>
              <w:t xml:space="preserve">216</w:t>
            </w:r>
          </w:p>
        </w:tc>
        <w:tc>
          <w:tcPr/>
          <w:p>
            <w:pPr>
              <w:pStyle w:val="Compact"/>
              <w:jc w:val="right"/>
            </w:pPr>
            <w:r>
              <w:t xml:space="preserve">\$1,350</w:t>
            </w:r>
          </w:p>
        </w:tc>
        <w:tc>
          <w:tcPr/>
          <w:p>
            <w:pPr>
              <w:pStyle w:val="Compact"/>
              <w:jc w:val="right"/>
            </w:pPr>
            <w:r>
              <w:t xml:space="preserve">\$1,800</w:t>
            </w:r>
          </w:p>
        </w:tc>
        <w:tc>
          <w:tcPr/>
          <w:p>
            <w:pPr>
              <w:pStyle w:val="Compact"/>
              <w:jc w:val="right"/>
            </w:pPr>
            <w:r>
              <w:rPr>
                <w:b/>
                <w:bCs/>
              </w:rPr>
              <w:t xml:space="preserve">\$2,000</w:t>
            </w:r>
          </w:p>
        </w:tc>
        <w:tc>
          <w:tcPr/>
          <w:p>
            <w:pPr>
              <w:pStyle w:val="Compact"/>
              <w:jc w:val="right"/>
            </w:pPr>
            <w:r>
              <w:t xml:space="preserve">\$2,400</w:t>
            </w:r>
          </w:p>
        </w:tc>
        <w:tc>
          <w:tcPr/>
          <w:p>
            <w:pPr>
              <w:pStyle w:val="Compact"/>
              <w:jc w:val="right"/>
            </w:pPr>
            <w:r>
              <w:t xml:space="preserve">\$3,400</w:t>
            </w:r>
          </w:p>
        </w:tc>
        <w:tc>
          <w:tcPr/>
          <w:p>
            <w:pPr>
              <w:pStyle w:val="Compact"/>
            </w:pPr>
            <w:r>
              <w:t xml:space="preserve">Includes apartments and duplex units.</w:t>
            </w:r>
          </w:p>
        </w:tc>
      </w:tr>
      <w:tr>
        <w:tc>
          <w:tcPr/>
          <w:p>
            <w:pPr>
              <w:pStyle w:val="Compact"/>
            </w:pPr>
            <w:r>
              <w:rPr>
                <w:b/>
                <w:bCs/>
              </w:rPr>
              <w:t xml:space="preserve">3 bedrooms</w:t>
            </w:r>
          </w:p>
        </w:tc>
        <w:tc>
          <w:tcPr/>
          <w:p>
            <w:pPr>
              <w:pStyle w:val="Compact"/>
              <w:jc w:val="right"/>
            </w:pPr>
            <w:r>
              <w:t xml:space="preserve">129</w:t>
            </w:r>
          </w:p>
        </w:tc>
        <w:tc>
          <w:tcPr/>
          <w:p>
            <w:pPr>
              <w:pStyle w:val="Compact"/>
              <w:jc w:val="right"/>
            </w:pPr>
            <w:r>
              <w:t xml:space="preserve">\$1,500</w:t>
            </w:r>
          </w:p>
        </w:tc>
        <w:tc>
          <w:tcPr/>
          <w:p>
            <w:pPr>
              <w:pStyle w:val="Compact"/>
              <w:jc w:val="right"/>
            </w:pPr>
            <w:r>
              <w:t xml:space="preserve">\$2,600</w:t>
            </w:r>
          </w:p>
        </w:tc>
        <w:tc>
          <w:tcPr/>
          <w:p>
            <w:pPr>
              <w:pStyle w:val="Compact"/>
              <w:jc w:val="right"/>
            </w:pPr>
            <w:r>
              <w:rPr>
                <w:b/>
                <w:bCs/>
              </w:rPr>
              <w:t xml:space="preserve">\$2,995</w:t>
            </w:r>
          </w:p>
        </w:tc>
        <w:tc>
          <w:tcPr/>
          <w:p>
            <w:pPr>
              <w:pStyle w:val="Compact"/>
              <w:jc w:val="right"/>
            </w:pPr>
            <w:r>
              <w:t xml:space="preserve">\$3,400</w:t>
            </w:r>
          </w:p>
        </w:tc>
        <w:tc>
          <w:tcPr/>
          <w:p>
            <w:pPr>
              <w:pStyle w:val="Compact"/>
              <w:jc w:val="right"/>
            </w:pPr>
            <w:r>
              <w:t xml:space="preserve">\$5,000</w:t>
            </w:r>
          </w:p>
        </w:tc>
        <w:tc>
          <w:tcPr/>
          <w:p>
            <w:pPr>
              <w:pStyle w:val="Compact"/>
            </w:pPr>
            <w:r>
              <w:t xml:space="preserve">Mix of small houses and large apartments.</w:t>
            </w:r>
          </w:p>
        </w:tc>
      </w:tr>
      <w:tr>
        <w:tc>
          <w:tcPr/>
          <w:p>
            <w:pPr>
              <w:pStyle w:val="Compact"/>
            </w:pPr>
            <w:r>
              <w:rPr>
                <w:b/>
                <w:bCs/>
              </w:rPr>
              <w:t xml:space="preserve">4 bedrooms</w:t>
            </w:r>
          </w:p>
        </w:tc>
        <w:tc>
          <w:tcPr/>
          <w:p>
            <w:pPr>
              <w:pStyle w:val="Compact"/>
              <w:jc w:val="right"/>
            </w:pPr>
            <w:r>
              <w:t xml:space="preserve">57</w:t>
            </w:r>
          </w:p>
        </w:tc>
        <w:tc>
          <w:tcPr/>
          <w:p>
            <w:pPr>
              <w:pStyle w:val="Compact"/>
              <w:jc w:val="right"/>
            </w:pPr>
            <w:r>
              <w:t xml:space="preserve">\$2,200</w:t>
            </w:r>
          </w:p>
        </w:tc>
        <w:tc>
          <w:tcPr/>
          <w:p>
            <w:pPr>
              <w:pStyle w:val="Compact"/>
              <w:jc w:val="right"/>
            </w:pPr>
            <w:r>
              <w:t xml:space="preserve">\$2,900</w:t>
            </w:r>
          </w:p>
        </w:tc>
        <w:tc>
          <w:tcPr/>
          <w:p>
            <w:pPr>
              <w:pStyle w:val="Compact"/>
              <w:jc w:val="right"/>
            </w:pPr>
            <w:r>
              <w:rPr>
                <w:b/>
                <w:bCs/>
              </w:rPr>
              <w:t xml:space="preserve">\$3,500</w:t>
            </w:r>
          </w:p>
        </w:tc>
        <w:tc>
          <w:tcPr/>
          <w:p>
            <w:pPr>
              <w:pStyle w:val="Compact"/>
              <w:jc w:val="right"/>
            </w:pPr>
            <w:r>
              <w:t xml:space="preserve">\$4,000</w:t>
            </w:r>
          </w:p>
        </w:tc>
        <w:tc>
          <w:tcPr/>
          <w:p>
            <w:pPr>
              <w:pStyle w:val="Compact"/>
              <w:jc w:val="right"/>
            </w:pPr>
            <w:r>
              <w:t xml:space="preserve">\$10,000</w:t>
            </w:r>
          </w:p>
        </w:tc>
        <w:tc>
          <w:tcPr/>
          <w:p>
            <w:pPr>
              <w:pStyle w:val="Compact"/>
            </w:pPr>
            <w:r>
              <w:t xml:space="preserve">Larger single‑family rentals; one luxury outlier at \$10 k.</w:t>
            </w:r>
          </w:p>
        </w:tc>
      </w:tr>
      <w:tr>
        <w:tc>
          <w:tcPr/>
          <w:p>
            <w:pPr>
              <w:pStyle w:val="Compact"/>
            </w:pPr>
            <w:r>
              <w:rPr>
                <w:b/>
                <w:bCs/>
              </w:rPr>
              <w:t xml:space="preserve">5 bedrooms</w:t>
            </w:r>
          </w:p>
        </w:tc>
        <w:tc>
          <w:tcPr/>
          <w:p>
            <w:pPr>
              <w:pStyle w:val="Compact"/>
              <w:jc w:val="right"/>
            </w:pPr>
            <w:r>
              <w:t xml:space="preserve">14</w:t>
            </w:r>
          </w:p>
        </w:tc>
        <w:tc>
          <w:tcPr/>
          <w:p>
            <w:pPr>
              <w:pStyle w:val="Compact"/>
              <w:jc w:val="right"/>
            </w:pPr>
            <w:r>
              <w:t xml:space="preserve">\$2,800</w:t>
            </w:r>
          </w:p>
        </w:tc>
        <w:tc>
          <w:tcPr/>
          <w:p>
            <w:pPr>
              <w:pStyle w:val="Compact"/>
              <w:jc w:val="right"/>
            </w:pPr>
            <w:r>
              <w:t xml:space="preserve">\$3,950</w:t>
            </w:r>
          </w:p>
        </w:tc>
        <w:tc>
          <w:tcPr/>
          <w:p>
            <w:pPr>
              <w:pStyle w:val="Compact"/>
              <w:jc w:val="right"/>
            </w:pPr>
            <w:r>
              <w:rPr>
                <w:b/>
                <w:bCs/>
              </w:rPr>
              <w:t xml:space="preserve">\$4,825</w:t>
            </w:r>
          </w:p>
        </w:tc>
        <w:tc>
          <w:tcPr/>
          <w:p>
            <w:pPr>
              <w:pStyle w:val="Compact"/>
              <w:jc w:val="right"/>
            </w:pPr>
            <w:r>
              <w:t xml:space="preserve">\$6,000</w:t>
            </w:r>
          </w:p>
        </w:tc>
        <w:tc>
          <w:tcPr/>
          <w:p>
            <w:pPr>
              <w:pStyle w:val="Compact"/>
              <w:jc w:val="right"/>
            </w:pPr>
            <w:r>
              <w:t xml:space="preserve">\$8,000</w:t>
            </w:r>
          </w:p>
        </w:tc>
        <w:tc>
          <w:tcPr/>
          <w:p>
            <w:pPr>
              <w:pStyle w:val="Compact"/>
            </w:pPr>
            <w:r>
              <w:t xml:space="preserve">Rare and mostly single‑family houses.</w:t>
            </w:r>
          </w:p>
        </w:tc>
      </w:tr>
    </w:tbl>
    <w:p>
      <w:pPr>
        <w:pStyle w:val="BodyText"/>
      </w:pPr>
      <w:r>
        <w:t xml:space="preserve">To differentiate apartments from single‑family homes within the rental data, we grouped properties with</w:t>
      </w:r>
      <w:r>
        <w:t xml:space="preserve"> </w:t>
      </w:r>
      <w:r>
        <w:rPr>
          <w:b/>
          <w:bCs/>
        </w:rPr>
        <w:t xml:space="preserve">3 bedrooms or more</w:t>
      </w:r>
      <w:r>
        <w:t xml:space="preserve"> </w:t>
      </w:r>
      <w:r>
        <w:t xml:space="preserve">as “houses” and those with</w:t>
      </w:r>
      <w:r>
        <w:t xml:space="preserve"> </w:t>
      </w:r>
      <w:r>
        <w:rPr>
          <w:b/>
          <w:bCs/>
        </w:rPr>
        <w:t xml:space="preserve">2 bedrooms or fewer</w:t>
      </w:r>
      <w:r>
        <w:t xml:space="preserve"> </w:t>
      </w:r>
      <w:r>
        <w:t xml:space="preserve">as “apartments.” Under this simple classification, apartments (389 records) had a median rent of \$1,800, while houses (202 records) had a median rent of \$3,200. This split illustrates the premium tenants pay for larger detached homes relative to smaller apartment units.</w:t>
      </w:r>
    </w:p>
    <w:bookmarkEnd w:id="22"/>
    <w:bookmarkStart w:id="32" w:name="external-rental-data-sources"/>
    <w:p>
      <w:pPr>
        <w:pStyle w:val="Heading2"/>
      </w:pPr>
      <w:r>
        <w:t xml:space="preserve">External rental data sources</w:t>
      </w:r>
    </w:p>
    <w:p>
      <w:pPr>
        <w:pStyle w:val="FirstParagraph"/>
      </w:pPr>
      <w:r>
        <w:t xml:space="preserve">Several industry sources provide current asking rents for Marlborough as of early 2026:</w:t>
      </w:r>
    </w:p>
    <w:p>
      <w:pPr>
        <w:numPr>
          <w:ilvl w:val="0"/>
          <w:numId w:val="1001"/>
        </w:numPr>
      </w:pPr>
      <w:r>
        <w:rPr>
          <w:b/>
          <w:bCs/>
        </w:rPr>
        <w:t xml:space="preserve">Zillow</w:t>
      </w:r>
      <w:r>
        <w:t xml:space="preserve"> </w:t>
      </w:r>
      <w:r>
        <w:t xml:space="preserve">– Zillow’s rental market summary (31 January 2026) reports that the average rent for all bedrooms and all property types is</w:t>
      </w:r>
      <w:r>
        <w:t xml:space="preserve"> </w:t>
      </w:r>
      <w:r>
        <w:rPr>
          <w:b/>
          <w:bCs/>
        </w:rPr>
        <w:t xml:space="preserve">\$2,400</w:t>
      </w:r>
      <w:r>
        <w:t xml:space="preserve"> </w:t>
      </w:r>
      <w:r>
        <w:t xml:space="preserve">and that houses rent between</w:t>
      </w:r>
      <w:r>
        <w:t xml:space="preserve"> </w:t>
      </w:r>
      <w:r>
        <w:rPr>
          <w:b/>
          <w:bCs/>
        </w:rPr>
        <w:t xml:space="preserve">\$892 and \$6,900</w:t>
      </w:r>
      <w:r>
        <w:t xml:space="preserve"> </w:t>
      </w:r>
      <w:r>
        <w:t xml:space="preserve">with an average of \$2,400</w:t>
      </w:r>
      <w:hyperlink r:id="rId23">
        <w:r>
          <w:rPr>
            <w:rStyle w:val="Hyperlink"/>
          </w:rPr>
          <w:t xml:space="preserve">[1]</w:t>
        </w:r>
      </w:hyperlink>
      <w:r>
        <w:t xml:space="preserve">. It lists average rents by bedroom:</w:t>
      </w:r>
      <w:r>
        <w:t xml:space="preserve"> </w:t>
      </w:r>
      <w:r>
        <w:rPr>
          <w:b/>
          <w:bCs/>
        </w:rPr>
        <w:t xml:space="preserve">\$1,744 for studios</w:t>
      </w:r>
      <w:r>
        <w:t xml:space="preserve">,</w:t>
      </w:r>
      <w:r>
        <w:t xml:space="preserve"> </w:t>
      </w:r>
      <w:r>
        <w:rPr>
          <w:b/>
          <w:bCs/>
        </w:rPr>
        <w:t xml:space="preserve">\$1,984 for 1‑bedroom units</w:t>
      </w:r>
      <w:r>
        <w:t xml:space="preserve">,</w:t>
      </w:r>
      <w:r>
        <w:t xml:space="preserve"> </w:t>
      </w:r>
      <w:r>
        <w:rPr>
          <w:b/>
          <w:bCs/>
        </w:rPr>
        <w:t xml:space="preserve">\$2,400 for 2‑bedroom units</w:t>
      </w:r>
      <w:r>
        <w:t xml:space="preserve">,</w:t>
      </w:r>
      <w:r>
        <w:t xml:space="preserve"> </w:t>
      </w:r>
      <w:r>
        <w:rPr>
          <w:b/>
          <w:bCs/>
        </w:rPr>
        <w:t xml:space="preserve">\$2,859 for 3‑bedroom units</w:t>
      </w:r>
      <w:r>
        <w:t xml:space="preserve"> </w:t>
      </w:r>
      <w:r>
        <w:t xml:space="preserve">and</w:t>
      </w:r>
      <w:r>
        <w:t xml:space="preserve"> </w:t>
      </w:r>
      <w:r>
        <w:rPr>
          <w:b/>
          <w:bCs/>
        </w:rPr>
        <w:t xml:space="preserve">\$5,200 for 4‑bedroom units</w:t>
      </w:r>
      <w:hyperlink r:id="rId23">
        <w:r>
          <w:rPr>
            <w:rStyle w:val="Hyperlink"/>
          </w:rPr>
          <w:t xml:space="preserve">[2]</w:t>
        </w:r>
      </w:hyperlink>
      <w:r>
        <w:t xml:space="preserve">.</w:t>
      </w:r>
    </w:p>
    <w:p>
      <w:pPr>
        <w:numPr>
          <w:ilvl w:val="0"/>
          <w:numId w:val="1001"/>
        </w:numPr>
      </w:pPr>
      <w:r>
        <w:rPr>
          <w:b/>
          <w:bCs/>
        </w:rPr>
        <w:t xml:space="preserve">RentCafe</w:t>
      </w:r>
      <w:r>
        <w:t xml:space="preserve"> </w:t>
      </w:r>
      <w:r>
        <w:t xml:space="preserve">– Yardi’s RentCafe platform (18 January 2026) shows an average apartment rent of</w:t>
      </w:r>
      <w:r>
        <w:t xml:space="preserve"> </w:t>
      </w:r>
      <w:r>
        <w:rPr>
          <w:b/>
          <w:bCs/>
        </w:rPr>
        <w:t xml:space="preserve">\$2,549</w:t>
      </w:r>
      <w:r>
        <w:t xml:space="preserve">, up 3.8 % year‑over‑year</w:t>
      </w:r>
      <w:hyperlink r:id="rId24">
        <w:r>
          <w:rPr>
            <w:rStyle w:val="Hyperlink"/>
          </w:rPr>
          <w:t xml:space="preserve">[3]</w:t>
        </w:r>
      </w:hyperlink>
      <w:r>
        <w:t xml:space="preserve">. It details unit sizes and rents: studios average</w:t>
      </w:r>
      <w:r>
        <w:t xml:space="preserve"> </w:t>
      </w:r>
      <w:r>
        <w:rPr>
          <w:b/>
          <w:bCs/>
        </w:rPr>
        <w:t xml:space="preserve">\$1,525</w:t>
      </w:r>
      <w:r>
        <w:t xml:space="preserve"> </w:t>
      </w:r>
      <w:r>
        <w:t xml:space="preserve">for 406 sq ft; 1‑bedroom apartments average</w:t>
      </w:r>
      <w:r>
        <w:t xml:space="preserve"> </w:t>
      </w:r>
      <w:r>
        <w:rPr>
          <w:b/>
          <w:bCs/>
        </w:rPr>
        <w:t xml:space="preserve">\$2,357</w:t>
      </w:r>
      <w:r>
        <w:t xml:space="preserve"> </w:t>
      </w:r>
      <w:r>
        <w:t xml:space="preserve">for 774 sq ft; 2‑bedroom apartments average</w:t>
      </w:r>
      <w:r>
        <w:t xml:space="preserve"> </w:t>
      </w:r>
      <w:r>
        <w:rPr>
          <w:b/>
          <w:bCs/>
        </w:rPr>
        <w:t xml:space="preserve">\$2,686</w:t>
      </w:r>
      <w:r>
        <w:t xml:space="preserve"> </w:t>
      </w:r>
      <w:r>
        <w:t xml:space="preserve">for 1,066 sq ft; and 3‑bedroom apartments average</w:t>
      </w:r>
      <w:r>
        <w:t xml:space="preserve"> </w:t>
      </w:r>
      <w:r>
        <w:rPr>
          <w:b/>
          <w:bCs/>
        </w:rPr>
        <w:t xml:space="preserve">\$3,505</w:t>
      </w:r>
      <w:r>
        <w:t xml:space="preserve"> </w:t>
      </w:r>
      <w:r>
        <w:t xml:space="preserve">for 1,411 sq ft</w:t>
      </w:r>
      <w:hyperlink r:id="rId24">
        <w:r>
          <w:rPr>
            <w:rStyle w:val="Hyperlink"/>
          </w:rPr>
          <w:t xml:space="preserve">[3]</w:t>
        </w:r>
      </w:hyperlink>
      <w:r>
        <w:t xml:space="preserve">. RentCafe notes that 42 % of Marlborough rentals fall between</w:t>
      </w:r>
      <w:r>
        <w:t xml:space="preserve"> </w:t>
      </w:r>
      <w:r>
        <w:rPr>
          <w:b/>
          <w:bCs/>
        </w:rPr>
        <w:t xml:space="preserve">\$2,001 and \$2,500</w:t>
      </w:r>
      <w:hyperlink r:id="rId25">
        <w:r>
          <w:rPr>
            <w:rStyle w:val="Hyperlink"/>
          </w:rPr>
          <w:t xml:space="preserve">[4]</w:t>
        </w:r>
      </w:hyperlink>
      <w:r>
        <w:t xml:space="preserve">.</w:t>
      </w:r>
    </w:p>
    <w:p>
      <w:pPr>
        <w:numPr>
          <w:ilvl w:val="0"/>
          <w:numId w:val="1001"/>
        </w:numPr>
      </w:pPr>
      <w:r>
        <w:rPr>
          <w:b/>
          <w:bCs/>
        </w:rPr>
        <w:t xml:space="preserve">Rent.com</w:t>
      </w:r>
      <w:r>
        <w:t xml:space="preserve"> </w:t>
      </w:r>
      <w:r>
        <w:t xml:space="preserve">– Rent.com’s trend report (1 February 2026) lists average rents of</w:t>
      </w:r>
      <w:r>
        <w:t xml:space="preserve"> </w:t>
      </w:r>
      <w:r>
        <w:rPr>
          <w:b/>
          <w:bCs/>
        </w:rPr>
        <w:t xml:space="preserve">\$1,979</w:t>
      </w:r>
      <w:r>
        <w:t xml:space="preserve"> </w:t>
      </w:r>
      <w:r>
        <w:t xml:space="preserve">for studio apartments,</w:t>
      </w:r>
      <w:r>
        <w:t xml:space="preserve"> </w:t>
      </w:r>
      <w:r>
        <w:rPr>
          <w:b/>
          <w:bCs/>
        </w:rPr>
        <w:t xml:space="preserve">\$2,840</w:t>
      </w:r>
      <w:r>
        <w:t xml:space="preserve"> </w:t>
      </w:r>
      <w:r>
        <w:t xml:space="preserve">for one‑bedroom apartments and</w:t>
      </w:r>
      <w:r>
        <w:t xml:space="preserve"> </w:t>
      </w:r>
      <w:r>
        <w:rPr>
          <w:b/>
          <w:bCs/>
        </w:rPr>
        <w:t xml:space="preserve">\$3,201</w:t>
      </w:r>
      <w:r>
        <w:t xml:space="preserve"> </w:t>
      </w:r>
      <w:r>
        <w:t xml:space="preserve">for two‑bedroom apartments</w:t>
      </w:r>
      <w:hyperlink r:id="rId26">
        <w:r>
          <w:rPr>
            <w:rStyle w:val="Hyperlink"/>
          </w:rPr>
          <w:t xml:space="preserve">[5]</w:t>
        </w:r>
      </w:hyperlink>
      <w:r>
        <w:t xml:space="preserve">. Its data show that 88 % of Marlborough apartments rent for more than \$2,100 per month</w:t>
      </w:r>
      <w:hyperlink r:id="rId27">
        <w:r>
          <w:rPr>
            <w:rStyle w:val="Hyperlink"/>
          </w:rPr>
          <w:t xml:space="preserve">[6]</w:t>
        </w:r>
      </w:hyperlink>
      <w:r>
        <w:t xml:space="preserve">.</w:t>
      </w:r>
    </w:p>
    <w:p>
      <w:pPr>
        <w:numPr>
          <w:ilvl w:val="0"/>
          <w:numId w:val="1001"/>
        </w:numPr>
      </w:pPr>
      <w:r>
        <w:rPr>
          <w:b/>
          <w:bCs/>
        </w:rPr>
        <w:t xml:space="preserve">Rentometer</w:t>
      </w:r>
      <w:r>
        <w:t xml:space="preserve"> </w:t>
      </w:r>
      <w:r>
        <w:t xml:space="preserve">– Rentometer provides a breakdown by bedroom count using actual rent comparables. In early 2026, it reports average and median rents along with range statistics. Studio apartments average</w:t>
      </w:r>
      <w:r>
        <w:t xml:space="preserve"> </w:t>
      </w:r>
      <w:r>
        <w:rPr>
          <w:b/>
          <w:bCs/>
        </w:rPr>
        <w:t xml:space="preserve">\$1,904</w:t>
      </w:r>
      <w:r>
        <w:t xml:space="preserve"> </w:t>
      </w:r>
      <w:r>
        <w:t xml:space="preserve">and have a median of</w:t>
      </w:r>
      <w:r>
        <w:t xml:space="preserve"> </w:t>
      </w:r>
      <w:r>
        <w:rPr>
          <w:b/>
          <w:bCs/>
        </w:rPr>
        <w:t xml:space="preserve">\$1,929</w:t>
      </w:r>
      <w:r>
        <w:t xml:space="preserve">, with the middle 50 % of rents falling between</w:t>
      </w:r>
      <w:r>
        <w:t xml:space="preserve"> </w:t>
      </w:r>
      <w:r>
        <w:rPr>
          <w:b/>
          <w:bCs/>
        </w:rPr>
        <w:t xml:space="preserve">\$1,750 and \$2,480</w:t>
      </w:r>
      <w:hyperlink r:id="rId28">
        <w:r>
          <w:rPr>
            <w:rStyle w:val="Hyperlink"/>
          </w:rPr>
          <w:t xml:space="preserve">[7]</w:t>
        </w:r>
      </w:hyperlink>
      <w:r>
        <w:t xml:space="preserve">. One‑bedroom apartments average</w:t>
      </w:r>
      <w:r>
        <w:t xml:space="preserve"> </w:t>
      </w:r>
      <w:r>
        <w:rPr>
          <w:b/>
          <w:bCs/>
        </w:rPr>
        <w:t xml:space="preserve">\$2,499</w:t>
      </w:r>
      <w:r>
        <w:t xml:space="preserve"> </w:t>
      </w:r>
      <w:r>
        <w:t xml:space="preserve">(median</w:t>
      </w:r>
      <w:r>
        <w:t xml:space="preserve"> </w:t>
      </w:r>
      <w:r>
        <w:rPr>
          <w:b/>
          <w:bCs/>
        </w:rPr>
        <w:t xml:space="preserve">\$2,562</w:t>
      </w:r>
      <w:r>
        <w:t xml:space="preserve">), with the 25th–75th percentile range</w:t>
      </w:r>
      <w:r>
        <w:t xml:space="preserve"> </w:t>
      </w:r>
      <w:r>
        <w:rPr>
          <w:b/>
          <w:bCs/>
        </w:rPr>
        <w:t xml:space="preserve">\$2,144–\$2,850</w:t>
      </w:r>
      <w:hyperlink r:id="rId28">
        <w:r>
          <w:rPr>
            <w:rStyle w:val="Hyperlink"/>
          </w:rPr>
          <w:t xml:space="preserve">[7]</w:t>
        </w:r>
      </w:hyperlink>
      <w:r>
        <w:t xml:space="preserve">. Two‑bedroom units average</w:t>
      </w:r>
      <w:r>
        <w:t xml:space="preserve"> </w:t>
      </w:r>
      <w:r>
        <w:rPr>
          <w:b/>
          <w:bCs/>
        </w:rPr>
        <w:t xml:space="preserve">\$3,128</w:t>
      </w:r>
      <w:r>
        <w:t xml:space="preserve"> </w:t>
      </w:r>
      <w:r>
        <w:t xml:space="preserve">(median</w:t>
      </w:r>
      <w:r>
        <w:t xml:space="preserve"> </w:t>
      </w:r>
      <w:r>
        <w:rPr>
          <w:b/>
          <w:bCs/>
        </w:rPr>
        <w:t xml:space="preserve">\$3,212</w:t>
      </w:r>
      <w:r>
        <w:t xml:space="preserve">) with a 25th–75th percentile range</w:t>
      </w:r>
      <w:r>
        <w:t xml:space="preserve"> </w:t>
      </w:r>
      <w:r>
        <w:rPr>
          <w:b/>
          <w:bCs/>
        </w:rPr>
        <w:t xml:space="preserve">\$2,735–\$3,528</w:t>
      </w:r>
      <w:hyperlink r:id="rId28">
        <w:r>
          <w:rPr>
            <w:rStyle w:val="Hyperlink"/>
          </w:rPr>
          <w:t xml:space="preserve">[7]</w:t>
        </w:r>
      </w:hyperlink>
      <w:r>
        <w:t xml:space="preserve">. Three‑bedroom apartments average</w:t>
      </w:r>
      <w:r>
        <w:t xml:space="preserve"> </w:t>
      </w:r>
      <w:r>
        <w:rPr>
          <w:b/>
          <w:bCs/>
        </w:rPr>
        <w:t xml:space="preserve">\$3,953</w:t>
      </w:r>
      <w:r>
        <w:t xml:space="preserve"> </w:t>
      </w:r>
      <w:r>
        <w:t xml:space="preserve">(median</w:t>
      </w:r>
      <w:r>
        <w:t xml:space="preserve"> </w:t>
      </w:r>
      <w:r>
        <w:rPr>
          <w:b/>
          <w:bCs/>
        </w:rPr>
        <w:t xml:space="preserve">\$4,096</w:t>
      </w:r>
      <w:r>
        <w:t xml:space="preserve">) and typically rent between</w:t>
      </w:r>
      <w:r>
        <w:t xml:space="preserve"> </w:t>
      </w:r>
      <w:r>
        <w:rPr>
          <w:b/>
          <w:bCs/>
        </w:rPr>
        <w:t xml:space="preserve">\$3,500 and \$4,494</w:t>
      </w:r>
      <w:hyperlink r:id="rId28">
        <w:r>
          <w:rPr>
            <w:rStyle w:val="Hyperlink"/>
          </w:rPr>
          <w:t xml:space="preserve">[8]</w:t>
        </w:r>
      </w:hyperlink>
      <w:r>
        <w:t xml:space="preserve">. The Rentometer narrative notes that studios “sit in the \$1,900s” and three‑bedroom units “approach the \$4,100 tier”</w:t>
      </w:r>
      <w:hyperlink r:id="rId29">
        <w:r>
          <w:rPr>
            <w:rStyle w:val="Hyperlink"/>
          </w:rPr>
          <w:t xml:space="preserve">[9]</w:t>
        </w:r>
      </w:hyperlink>
      <w:r>
        <w:t xml:space="preserve">.</w:t>
      </w:r>
    </w:p>
    <w:p>
      <w:pPr>
        <w:numPr>
          <w:ilvl w:val="0"/>
          <w:numId w:val="1001"/>
        </w:numPr>
      </w:pPr>
      <w:r>
        <w:rPr>
          <w:b/>
          <w:bCs/>
        </w:rPr>
        <w:t xml:space="preserve">Realtor.com</w:t>
      </w:r>
      <w:r>
        <w:t xml:space="preserve"> </w:t>
      </w:r>
      <w:r>
        <w:t xml:space="preserve">– Realtor.com’s market snapshot (November 2025) reports that Marlborough has a</w:t>
      </w:r>
      <w:r>
        <w:t xml:space="preserve"> </w:t>
      </w:r>
      <w:r>
        <w:rPr>
          <w:b/>
          <w:bCs/>
        </w:rPr>
        <w:t xml:space="preserve">median rent of \$2,441 per month</w:t>
      </w:r>
      <w:hyperlink r:id="rId30">
        <w:r>
          <w:rPr>
            <w:rStyle w:val="Hyperlink"/>
          </w:rPr>
          <w:t xml:space="preserve">[10]</w:t>
        </w:r>
      </w:hyperlink>
      <w:r>
        <w:t xml:space="preserve">. It also highlights variations across neighbourhoods: Downtown Marlborough’s median rent is \$1,975, Marlborough Junction’s is \$2,300 and French Hill’s is \$1,800</w:t>
      </w:r>
      <w:hyperlink r:id="rId31">
        <w:r>
          <w:rPr>
            <w:rStyle w:val="Hyperlink"/>
          </w:rPr>
          <w:t xml:space="preserve">[11]</w:t>
        </w:r>
      </w:hyperlink>
      <w:r>
        <w:t xml:space="preserve">.</w:t>
      </w:r>
    </w:p>
    <w:p>
      <w:pPr>
        <w:pStyle w:val="FirstParagraph"/>
      </w:pPr>
      <w:r>
        <w:t xml:space="preserve">These sources all show 2025–2026 asking rents substantially above the MLS medians, reflecting both rising rents and the delivery of new luxury apartment communities that command premium pricing.</w:t>
      </w:r>
    </w:p>
    <w:bookmarkEnd w:id="32"/>
    <w:bookmarkStart w:id="33" w:name="comparing-mls-history-with-external-data"/>
    <w:p>
      <w:pPr>
        <w:pStyle w:val="Heading2"/>
      </w:pPr>
      <w:r>
        <w:t xml:space="preserve">Comparing MLS history with external data</w:t>
      </w:r>
    </w:p>
    <w:p>
      <w:pPr>
        <w:pStyle w:val="FirstParagraph"/>
      </w:pPr>
      <w:r>
        <w:t xml:space="preserve">The MLS and external data sets tell different stories about Marlborough’s rental market. When comparing the MLS medians to the average medians from external sources (Zillow, RentCafe, Rent.com and Rentometer), rents appear to have risen sharply since 2019: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Bedroom</w:t>
            </w:r>
          </w:p>
        </w:tc>
        <w:tc>
          <w:tcPr/>
          <w:p>
            <w:pPr>
              <w:pStyle w:val="Compact"/>
              <w:jc w:val="right"/>
            </w:pPr>
            <w:r>
              <w:t xml:space="preserve">MLS median (2019‑24)</w:t>
            </w:r>
          </w:p>
        </w:tc>
        <w:tc>
          <w:tcPr/>
          <w:p>
            <w:pPr>
              <w:pStyle w:val="Compact"/>
              <w:jc w:val="right"/>
            </w:pPr>
            <w:r>
              <w:t xml:space="preserve">Average of external medians (2025‑26)</w:t>
            </w:r>
          </w:p>
        </w:tc>
        <w:tc>
          <w:tcPr/>
          <w:p>
            <w:pPr>
              <w:pStyle w:val="Compact"/>
              <w:jc w:val="right"/>
            </w:pPr>
            <w:r>
              <w:t xml:space="preserve">Difference</w:t>
            </w:r>
          </w:p>
        </w:tc>
        <w:tc>
          <w:tcPr/>
          <w:p>
            <w:pPr>
              <w:pStyle w:val="Compact"/>
              <w:jc w:val="right"/>
            </w:pPr>
            <w:r>
              <w:t xml:space="preserve">Percent increase</w:t>
            </w:r>
          </w:p>
        </w:tc>
      </w:tr>
      <w:tr>
        <w:tc>
          <w:tcPr/>
          <w:p>
            <w:pPr>
              <w:pStyle w:val="Compact"/>
            </w:pPr>
            <w:r>
              <w:rPr>
                <w:b/>
                <w:bCs/>
              </w:rPr>
              <w:t xml:space="preserve">Studio</w:t>
            </w:r>
          </w:p>
        </w:tc>
        <w:tc>
          <w:tcPr/>
          <w:p>
            <w:pPr>
              <w:pStyle w:val="Compact"/>
              <w:jc w:val="right"/>
            </w:pPr>
            <w:r>
              <w:t xml:space="preserve">\$1,097.50</w:t>
            </w:r>
          </w:p>
        </w:tc>
        <w:tc>
          <w:tcPr/>
          <w:p>
            <w:pPr>
              <w:pStyle w:val="Compact"/>
              <w:jc w:val="right"/>
            </w:pPr>
            <w:r>
              <w:t xml:space="preserve">~\$1,794</w:t>
            </w:r>
          </w:p>
        </w:tc>
        <w:tc>
          <w:tcPr/>
          <w:p>
            <w:pPr>
              <w:pStyle w:val="Compact"/>
              <w:jc w:val="right"/>
            </w:pPr>
            <w:r>
              <w:t xml:space="preserve">+\$696</w:t>
            </w:r>
          </w:p>
        </w:tc>
        <w:tc>
          <w:tcPr/>
          <w:p>
            <w:pPr>
              <w:pStyle w:val="Compact"/>
              <w:jc w:val="right"/>
            </w:pPr>
            <w:r>
              <w:rPr>
                <w:b/>
                <w:bCs/>
              </w:rPr>
              <w:t xml:space="preserve">≈64 % higher</w:t>
            </w:r>
          </w:p>
        </w:tc>
      </w:tr>
      <w:tr>
        <w:tc>
          <w:tcPr/>
          <w:p>
            <w:pPr>
              <w:pStyle w:val="Compact"/>
            </w:pPr>
            <w:r>
              <w:rPr>
                <w:b/>
                <w:bCs/>
              </w:rPr>
              <w:t xml:space="preserve">1 bedroom</w:t>
            </w:r>
          </w:p>
        </w:tc>
        <w:tc>
          <w:tcPr/>
          <w:p>
            <w:pPr>
              <w:pStyle w:val="Compact"/>
              <w:jc w:val="right"/>
            </w:pPr>
            <w:r>
              <w:t xml:space="preserve">\$1,600</w:t>
            </w:r>
          </w:p>
        </w:tc>
        <w:tc>
          <w:tcPr/>
          <w:p>
            <w:pPr>
              <w:pStyle w:val="Compact"/>
              <w:jc w:val="right"/>
            </w:pPr>
            <w:r>
              <w:t xml:space="preserve">~\$2,436</w:t>
            </w:r>
          </w:p>
        </w:tc>
        <w:tc>
          <w:tcPr/>
          <w:p>
            <w:pPr>
              <w:pStyle w:val="Compact"/>
              <w:jc w:val="right"/>
            </w:pPr>
            <w:r>
              <w:t xml:space="preserve">+\$836</w:t>
            </w:r>
          </w:p>
        </w:tc>
        <w:tc>
          <w:tcPr/>
          <w:p>
            <w:pPr>
              <w:pStyle w:val="Compact"/>
              <w:jc w:val="right"/>
            </w:pPr>
            <w:r>
              <w:rPr>
                <w:b/>
                <w:bCs/>
              </w:rPr>
              <w:t xml:space="preserve">≈52 % higher</w:t>
            </w:r>
          </w:p>
        </w:tc>
      </w:tr>
      <w:tr>
        <w:tc>
          <w:tcPr/>
          <w:p>
            <w:pPr>
              <w:pStyle w:val="Compact"/>
            </w:pPr>
            <w:r>
              <w:rPr>
                <w:b/>
                <w:bCs/>
              </w:rPr>
              <w:t xml:space="preserve">2 bedrooms</w:t>
            </w:r>
          </w:p>
        </w:tc>
        <w:tc>
          <w:tcPr/>
          <w:p>
            <w:pPr>
              <w:pStyle w:val="Compact"/>
              <w:jc w:val="right"/>
            </w:pPr>
            <w:r>
              <w:t xml:space="preserve">\$2,000</w:t>
            </w:r>
          </w:p>
        </w:tc>
        <w:tc>
          <w:tcPr/>
          <w:p>
            <w:pPr>
              <w:pStyle w:val="Compact"/>
              <w:jc w:val="right"/>
            </w:pPr>
            <w:r>
              <w:t xml:space="preserve">~\$2,875</w:t>
            </w:r>
          </w:p>
        </w:tc>
        <w:tc>
          <w:tcPr/>
          <w:p>
            <w:pPr>
              <w:pStyle w:val="Compact"/>
              <w:jc w:val="right"/>
            </w:pPr>
            <w:r>
              <w:t xml:space="preserve">+\$875</w:t>
            </w:r>
          </w:p>
        </w:tc>
        <w:tc>
          <w:tcPr/>
          <w:p>
            <w:pPr>
              <w:pStyle w:val="Compact"/>
              <w:jc w:val="right"/>
            </w:pPr>
            <w:r>
              <w:rPr>
                <w:b/>
                <w:bCs/>
              </w:rPr>
              <w:t xml:space="preserve">≈44 % higher</w:t>
            </w:r>
          </w:p>
        </w:tc>
      </w:tr>
      <w:tr>
        <w:tc>
          <w:tcPr/>
          <w:p>
            <w:pPr>
              <w:pStyle w:val="Compact"/>
            </w:pPr>
            <w:r>
              <w:rPr>
                <w:b/>
                <w:bCs/>
              </w:rPr>
              <w:t xml:space="preserve">3 bedrooms</w:t>
            </w:r>
          </w:p>
        </w:tc>
        <w:tc>
          <w:tcPr/>
          <w:p>
            <w:pPr>
              <w:pStyle w:val="Compact"/>
              <w:jc w:val="right"/>
            </w:pPr>
            <w:r>
              <w:t xml:space="preserve">\$2,995</w:t>
            </w:r>
          </w:p>
        </w:tc>
        <w:tc>
          <w:tcPr/>
          <w:p>
            <w:pPr>
              <w:pStyle w:val="Compact"/>
              <w:jc w:val="right"/>
            </w:pPr>
            <w:r>
              <w:t xml:space="preserve">~\$3,487</w:t>
            </w:r>
          </w:p>
        </w:tc>
        <w:tc>
          <w:tcPr/>
          <w:p>
            <w:pPr>
              <w:pStyle w:val="Compact"/>
              <w:jc w:val="right"/>
            </w:pPr>
            <w:r>
              <w:t xml:space="preserve">+\$492</w:t>
            </w:r>
          </w:p>
        </w:tc>
        <w:tc>
          <w:tcPr/>
          <w:p>
            <w:pPr>
              <w:pStyle w:val="Compact"/>
              <w:jc w:val="right"/>
            </w:pPr>
            <w:r>
              <w:rPr>
                <w:b/>
                <w:bCs/>
              </w:rPr>
              <w:t xml:space="preserve">≈16 % higher</w:t>
            </w:r>
          </w:p>
        </w:tc>
      </w:tr>
      <w:tr>
        <w:tc>
          <w:tcPr/>
          <w:p>
            <w:pPr>
              <w:pStyle w:val="Compact"/>
            </w:pPr>
            <w:r>
              <w:rPr>
                <w:b/>
                <w:bCs/>
              </w:rPr>
              <w:t xml:space="preserve">4 bedrooms</w:t>
            </w:r>
          </w:p>
        </w:tc>
        <w:tc>
          <w:tcPr/>
          <w:p>
            <w:pPr>
              <w:pStyle w:val="Compact"/>
              <w:jc w:val="right"/>
            </w:pPr>
            <w:r>
              <w:t xml:space="preserve">\$3,500</w:t>
            </w:r>
          </w:p>
        </w:tc>
        <w:tc>
          <w:tcPr/>
          <w:p>
            <w:pPr>
              <w:pStyle w:val="Compact"/>
              <w:jc w:val="right"/>
            </w:pPr>
            <w:r>
              <w:t xml:space="preserve">\$5,200 (Zillow)</w:t>
            </w:r>
          </w:p>
        </w:tc>
        <w:tc>
          <w:tcPr/>
          <w:p>
            <w:pPr>
              <w:pStyle w:val="Compact"/>
              <w:jc w:val="right"/>
            </w:pPr>
            <w:r>
              <w:t xml:space="preserve">+\$1,700</w:t>
            </w:r>
          </w:p>
        </w:tc>
        <w:tc>
          <w:tcPr/>
          <w:p>
            <w:pPr>
              <w:pStyle w:val="Compact"/>
              <w:jc w:val="right"/>
            </w:pPr>
            <w:r>
              <w:rPr>
                <w:b/>
                <w:bCs/>
              </w:rPr>
              <w:t xml:space="preserve">≈49 % higher</w:t>
            </w:r>
          </w:p>
        </w:tc>
      </w:tr>
    </w:tbl>
    <w:p>
      <w:pPr>
        <w:pStyle w:val="BodyText"/>
      </w:pPr>
      <w:r>
        <w:t xml:space="preserve">The smaller gap for three‑bedroom units suggests that larger homes were already commanding higher rents in 2019–2024, whereas smaller units have experienced steeper increases. Several factors explain these discrepancies:</w:t>
      </w:r>
    </w:p>
    <w:p>
      <w:pPr>
        <w:pStyle w:val="Compact"/>
        <w:numPr>
          <w:ilvl w:val="0"/>
          <w:numId w:val="1002"/>
        </w:numPr>
      </w:pPr>
      <w:r>
        <w:rPr>
          <w:b/>
          <w:bCs/>
        </w:rPr>
        <w:t xml:space="preserve">Time lag and sample composition</w:t>
      </w:r>
      <w:r>
        <w:t xml:space="preserve"> </w:t>
      </w:r>
      <w:r>
        <w:t xml:space="preserve">– MLS records cover multiple economic cycles, including the pandemic‑era slowdown, and include many mom‑and‑pop rentals, whereas current market surveys capture only recent listing activity. New apartment complexes, such as Alta Marlborough and Green District phases 3–4, have delivered hundreds of modern units at higher price points.</w:t>
      </w:r>
    </w:p>
    <w:p>
      <w:pPr>
        <w:pStyle w:val="Compact"/>
        <w:numPr>
          <w:ilvl w:val="0"/>
          <w:numId w:val="1002"/>
        </w:numPr>
      </w:pPr>
      <w:r>
        <w:rPr>
          <w:b/>
          <w:bCs/>
        </w:rPr>
        <w:t xml:space="preserve">Unit quality and amenities</w:t>
      </w:r>
      <w:r>
        <w:t xml:space="preserve"> </w:t>
      </w:r>
      <w:r>
        <w:t xml:space="preserve">– Many MLS rentals are older apartments or single‑family homes with basic finishes. External sources rely heavily on professionally managed apartment buildings that offer amenities like fitness centres, parking garages and on‑site management, which command higher rents.</w:t>
      </w:r>
    </w:p>
    <w:p>
      <w:pPr>
        <w:pStyle w:val="Compact"/>
        <w:numPr>
          <w:ilvl w:val="0"/>
          <w:numId w:val="1002"/>
        </w:numPr>
      </w:pPr>
      <w:r>
        <w:rPr>
          <w:b/>
          <w:bCs/>
        </w:rPr>
        <w:t xml:space="preserve">Demand drivers</w:t>
      </w:r>
      <w:r>
        <w:t xml:space="preserve"> </w:t>
      </w:r>
      <w:r>
        <w:t xml:space="preserve">– Growth in life‑science and technology employment (Sartorius, Moderna, Cytiva and other employers) has attracted higher‑income renters and increased competition for well‑located units, pushing asking rents upward.</w:t>
      </w:r>
    </w:p>
    <w:bookmarkEnd w:id="33"/>
    <w:bookmarkStart w:id="36" w:name="rent-range-estimates-for-underwriting"/>
    <w:p>
      <w:pPr>
        <w:pStyle w:val="Heading2"/>
      </w:pPr>
      <w:r>
        <w:t xml:space="preserve">Rent range estimates for underwriting</w:t>
      </w:r>
    </w:p>
    <w:p>
      <w:pPr>
        <w:pStyle w:val="FirstParagraph"/>
      </w:pPr>
      <w:r>
        <w:t xml:space="preserve">To support investment underwriting, the following tables present</w:t>
      </w:r>
      <w:r>
        <w:t xml:space="preserve"> </w:t>
      </w:r>
      <w:r>
        <w:rPr>
          <w:b/>
          <w:bCs/>
        </w:rPr>
        <w:t xml:space="preserve">conservative</w:t>
      </w:r>
      <w:r>
        <w:t xml:space="preserve">,</w:t>
      </w:r>
      <w:r>
        <w:t xml:space="preserve"> </w:t>
      </w:r>
      <w:r>
        <w:rPr>
          <w:b/>
          <w:bCs/>
        </w:rPr>
        <w:t xml:space="preserve">moderate</w:t>
      </w:r>
      <w:r>
        <w:t xml:space="preserve"> </w:t>
      </w:r>
      <w:r>
        <w:t xml:space="preserve">and</w:t>
      </w:r>
      <w:r>
        <w:t xml:space="preserve"> </w:t>
      </w:r>
      <w:r>
        <w:rPr>
          <w:b/>
          <w:bCs/>
        </w:rPr>
        <w:t xml:space="preserve">aggressive</w:t>
      </w:r>
      <w:r>
        <w:t xml:space="preserve"> </w:t>
      </w:r>
      <w:r>
        <w:t xml:space="preserve">rent assumptions by bedroom count. The conservative figures rely on MLS medians and lower quartiles to reflect older or less‑renovated units. Moderate estimates are the midpoint between the MLS median and the average external median. Aggressive figures correspond to the upper quartile or high‑end averages from Rentometer, Rent.com and Zillow, reflecting new luxury inventory.</w:t>
      </w:r>
    </w:p>
    <w:bookmarkStart w:id="34" w:name="apartments-studios2-bedrooms"/>
    <w:p>
      <w:pPr>
        <w:pStyle w:val="Heading3"/>
      </w:pPr>
      <w:r>
        <w:t xml:space="preserve">Apartments (studios–2 bedrooms)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Bedroom</w:t>
            </w:r>
          </w:p>
        </w:tc>
        <w:tc>
          <w:tcPr/>
          <w:p>
            <w:pPr>
              <w:pStyle w:val="Compact"/>
              <w:jc w:val="right"/>
            </w:pPr>
            <w:r>
              <w:t xml:space="preserve">Conservative rent (older units)</w:t>
            </w:r>
          </w:p>
        </w:tc>
        <w:tc>
          <w:tcPr/>
          <w:p>
            <w:pPr>
              <w:pStyle w:val="Compact"/>
              <w:jc w:val="right"/>
            </w:pPr>
            <w:r>
              <w:t xml:space="preserve">Moderate rent (mid‑range)</w:t>
            </w:r>
          </w:p>
        </w:tc>
        <w:tc>
          <w:tcPr/>
          <w:p>
            <w:pPr>
              <w:pStyle w:val="Compact"/>
              <w:jc w:val="right"/>
            </w:pPr>
            <w:r>
              <w:t xml:space="preserve">Aggressive rent (new/luxury)</w:t>
            </w:r>
          </w:p>
        </w:tc>
        <w:tc>
          <w:tcPr/>
          <w:p>
            <w:pPr>
              <w:pStyle w:val="Compact"/>
            </w:pPr>
            <w:r>
              <w:t xml:space="preserve">Evidence/justification</w:t>
            </w:r>
          </w:p>
        </w:tc>
      </w:tr>
      <w:tr>
        <w:tc>
          <w:tcPr/>
          <w:p>
            <w:pPr>
              <w:pStyle w:val="Compact"/>
            </w:pPr>
            <w:r>
              <w:rPr>
                <w:b/>
                <w:bCs/>
              </w:rPr>
              <w:t xml:space="preserve">Studio</w:t>
            </w:r>
          </w:p>
        </w:tc>
        <w:tc>
          <w:tcPr/>
          <w:p>
            <w:pPr>
              <w:pStyle w:val="Compact"/>
              <w:jc w:val="right"/>
            </w:pPr>
            <w:r>
              <w:rPr>
                <w:b/>
                <w:bCs/>
              </w:rPr>
              <w:t xml:space="preserve">\$1,200</w:t>
            </w:r>
          </w:p>
        </w:tc>
        <w:tc>
          <w:tcPr/>
          <w:p>
            <w:pPr>
              <w:pStyle w:val="Compact"/>
              <w:jc w:val="right"/>
            </w:pPr>
            <w:r>
              <w:t xml:space="preserve">~\$1,446 (midpoint of MLS and external medians)</w:t>
            </w:r>
          </w:p>
        </w:tc>
        <w:tc>
          <w:tcPr/>
          <w:p>
            <w:pPr>
              <w:pStyle w:val="Compact"/>
              <w:jc w:val="right"/>
            </w:pPr>
            <w:r>
              <w:rPr>
                <w:b/>
                <w:bCs/>
              </w:rPr>
              <w:t xml:space="preserve">\$2,300</w:t>
            </w:r>
          </w:p>
        </w:tc>
        <w:tc>
          <w:tcPr/>
          <w:p>
            <w:pPr>
              <w:pStyle w:val="Compact"/>
            </w:pPr>
            <w:r>
              <w:t xml:space="preserve">MLS studios had a median of \$1,097 and 75th percentile \$1,250. External sources put studio rents at \$1,525–\$1,979</w:t>
            </w:r>
            <w:hyperlink r:id="rId24">
              <w:r>
                <w:rPr>
                  <w:rStyle w:val="Hyperlink"/>
                </w:rPr>
                <w:t xml:space="preserve">[3]</w:t>
              </w:r>
            </w:hyperlink>
            <w:hyperlink r:id="rId26">
              <w:r>
                <w:rPr>
                  <w:rStyle w:val="Hyperlink"/>
                </w:rPr>
                <w:t xml:space="preserve">[5]</w:t>
              </w:r>
            </w:hyperlink>
            <w:r>
              <w:t xml:space="preserve"> </w:t>
            </w:r>
            <w:r>
              <w:t xml:space="preserve">and Rentometer’s upper quartile is \$2,480</w:t>
            </w:r>
            <w:hyperlink r:id="rId28">
              <w:r>
                <w:rPr>
                  <w:rStyle w:val="Hyperlink"/>
                </w:rPr>
                <w:t xml:space="preserve">[7]</w:t>
              </w:r>
            </w:hyperlink>
            <w:r>
              <w:t xml:space="preserve">. A conservative underwrite uses ~\$1.2 k, while a luxury new‑build could achieve ~$2.3 k.</w:t>
            </w:r>
          </w:p>
        </w:tc>
      </w:tr>
      <w:tr>
        <w:tc>
          <w:tcPr/>
          <w:p>
            <w:pPr>
              <w:pStyle w:val="Compact"/>
            </w:pPr>
            <w:r>
              <w:rPr>
                <w:b/>
                <w:bCs/>
              </w:rPr>
              <w:t xml:space="preserve">1 bed</w:t>
            </w:r>
          </w:p>
        </w:tc>
        <w:tc>
          <w:tcPr/>
          <w:p>
            <w:pPr>
              <w:pStyle w:val="Compact"/>
              <w:jc w:val="right"/>
            </w:pPr>
            <w:r>
              <w:rPr>
                <w:b/>
                <w:bCs/>
              </w:rPr>
              <w:t xml:space="preserve">\$1,600</w:t>
            </w:r>
          </w:p>
        </w:tc>
        <w:tc>
          <w:tcPr/>
          <w:p>
            <w:pPr>
              <w:pStyle w:val="Compact"/>
              <w:jc w:val="right"/>
            </w:pPr>
            <w:r>
              <w:t xml:space="preserve">~\$2,018</w:t>
            </w:r>
          </w:p>
        </w:tc>
        <w:tc>
          <w:tcPr/>
          <w:p>
            <w:pPr>
              <w:pStyle w:val="Compact"/>
              <w:jc w:val="right"/>
            </w:pPr>
            <w:r>
              <w:rPr>
                <w:b/>
                <w:bCs/>
              </w:rPr>
              <w:t xml:space="preserve">\$2,850</w:t>
            </w:r>
          </w:p>
        </w:tc>
        <w:tc>
          <w:tcPr/>
          <w:p>
            <w:pPr>
              <w:pStyle w:val="Compact"/>
            </w:pPr>
            <w:r>
              <w:t xml:space="preserve">MLS median \$1,600 with upper quartile \$1,800; external medians range \$1,984–\$2,840</w:t>
            </w:r>
            <w:hyperlink r:id="rId23">
              <w:r>
                <w:rPr>
                  <w:rStyle w:val="Hyperlink"/>
                </w:rPr>
                <w:t xml:space="preserve">[2]</w:t>
              </w:r>
            </w:hyperlink>
            <w:hyperlink r:id="rId26">
              <w:r>
                <w:rPr>
                  <w:rStyle w:val="Hyperlink"/>
                </w:rPr>
                <w:t xml:space="preserve">[5]</w:t>
              </w:r>
            </w:hyperlink>
            <w:r>
              <w:t xml:space="preserve">. Rentometer’s 75th percentile is \$2,850</w:t>
            </w:r>
            <w:hyperlink r:id="rId28">
              <w:r>
                <w:rPr>
                  <w:rStyle w:val="Hyperlink"/>
                </w:rPr>
                <w:t xml:space="preserve">[7]</w:t>
              </w:r>
            </w:hyperlink>
            <w:r>
              <w:t xml:space="preserve">. Moderate assumptions centre around \$2,018.</w:t>
            </w:r>
          </w:p>
        </w:tc>
      </w:tr>
      <w:tr>
        <w:tc>
          <w:tcPr/>
          <w:p>
            <w:pPr>
              <w:pStyle w:val="Compact"/>
            </w:pPr>
            <w:r>
              <w:rPr>
                <w:b/>
                <w:bCs/>
              </w:rPr>
              <w:t xml:space="preserve">2 bed</w:t>
            </w:r>
          </w:p>
        </w:tc>
        <w:tc>
          <w:tcPr/>
          <w:p>
            <w:pPr>
              <w:pStyle w:val="Compact"/>
              <w:jc w:val="right"/>
            </w:pPr>
            <w:r>
              <w:rPr>
                <w:b/>
                <w:bCs/>
              </w:rPr>
              <w:t xml:space="preserve">\$2,000</w:t>
            </w:r>
          </w:p>
        </w:tc>
        <w:tc>
          <w:tcPr/>
          <w:p>
            <w:pPr>
              <w:pStyle w:val="Compact"/>
              <w:jc w:val="right"/>
            </w:pPr>
            <w:r>
              <w:t xml:space="preserve">~\$2,437</w:t>
            </w:r>
          </w:p>
        </w:tc>
        <w:tc>
          <w:tcPr/>
          <w:p>
            <w:pPr>
              <w:pStyle w:val="Compact"/>
              <w:jc w:val="right"/>
            </w:pPr>
            <w:r>
              <w:rPr>
                <w:b/>
                <w:bCs/>
              </w:rPr>
              <w:t xml:space="preserve">\$3,300</w:t>
            </w:r>
          </w:p>
        </w:tc>
        <w:tc>
          <w:tcPr/>
          <w:p>
            <w:pPr>
              <w:pStyle w:val="Compact"/>
            </w:pPr>
            <w:r>
              <w:t xml:space="preserve">MLS median \$2,000 with upper quartile \$2,400; external medians average \$2,875 and Rentometer’s 25th–75th range is \$2,735–\$3,528</w:t>
            </w:r>
            <w:hyperlink r:id="rId28">
              <w:r>
                <w:rPr>
                  <w:rStyle w:val="Hyperlink"/>
                </w:rPr>
                <w:t xml:space="preserve">[7]</w:t>
              </w:r>
            </w:hyperlink>
            <w:r>
              <w:t xml:space="preserve">. Aggressive rents for new apartments can reach \$3,300.</w:t>
            </w:r>
          </w:p>
        </w:tc>
      </w:tr>
    </w:tbl>
    <w:bookmarkEnd w:id="34"/>
    <w:bookmarkStart w:id="35" w:name="houses-and-large-apartments-35-bedrooms"/>
    <w:p>
      <w:pPr>
        <w:pStyle w:val="Heading3"/>
      </w:pPr>
      <w:r>
        <w:t xml:space="preserve">Houses and large apartments (3–5 bedrooms)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Bedroom</w:t>
            </w:r>
          </w:p>
        </w:tc>
        <w:tc>
          <w:tcPr/>
          <w:p>
            <w:pPr>
              <w:pStyle w:val="Compact"/>
              <w:jc w:val="right"/>
            </w:pPr>
            <w:r>
              <w:t xml:space="preserve">Conservative rent (older units)</w:t>
            </w:r>
          </w:p>
        </w:tc>
        <w:tc>
          <w:tcPr/>
          <w:p>
            <w:pPr>
              <w:pStyle w:val="Compact"/>
              <w:jc w:val="right"/>
            </w:pPr>
            <w:r>
              <w:t xml:space="preserve">Moderate rent</w:t>
            </w:r>
          </w:p>
        </w:tc>
        <w:tc>
          <w:tcPr/>
          <w:p>
            <w:pPr>
              <w:pStyle w:val="Compact"/>
              <w:jc w:val="right"/>
            </w:pPr>
            <w:r>
              <w:t xml:space="preserve">Aggressive rent</w:t>
            </w:r>
          </w:p>
        </w:tc>
        <w:tc>
          <w:tcPr/>
          <w:p>
            <w:pPr>
              <w:pStyle w:val="Compact"/>
            </w:pPr>
            <w:r>
              <w:t xml:space="preserve">Evidence/justification</w:t>
            </w:r>
          </w:p>
        </w:tc>
      </w:tr>
      <w:tr>
        <w:tc>
          <w:tcPr/>
          <w:p>
            <w:pPr>
              <w:pStyle w:val="Compact"/>
            </w:pPr>
            <w:r>
              <w:rPr>
                <w:b/>
                <w:bCs/>
              </w:rPr>
              <w:t xml:space="preserve">3 bed</w:t>
            </w:r>
          </w:p>
        </w:tc>
        <w:tc>
          <w:tcPr/>
          <w:p>
            <w:pPr>
              <w:pStyle w:val="Compact"/>
              <w:jc w:val="right"/>
            </w:pPr>
            <w:r>
              <w:rPr>
                <w:b/>
                <w:bCs/>
              </w:rPr>
              <w:t xml:space="preserve">\$2,900</w:t>
            </w:r>
          </w:p>
        </w:tc>
        <w:tc>
          <w:tcPr/>
          <w:p>
            <w:pPr>
              <w:pStyle w:val="Compact"/>
              <w:jc w:val="right"/>
            </w:pPr>
            <w:r>
              <w:t xml:space="preserve">~\$3,241</w:t>
            </w:r>
          </w:p>
        </w:tc>
        <w:tc>
          <w:tcPr/>
          <w:p>
            <w:pPr>
              <w:pStyle w:val="Compact"/>
              <w:jc w:val="right"/>
            </w:pPr>
            <w:r>
              <w:rPr>
                <w:b/>
                <w:bCs/>
              </w:rPr>
              <w:t xml:space="preserve">\$4,500</w:t>
            </w:r>
          </w:p>
        </w:tc>
        <w:tc>
          <w:tcPr/>
          <w:p>
            <w:pPr>
              <w:pStyle w:val="Compact"/>
            </w:pPr>
            <w:r>
              <w:t xml:space="preserve">MLS median is \$2,995 and 75th percentile \$3,400. External medians average \$3,487 (Zillow, RentCafe, Rentometer), with Rentometer’s 75th percentile at \$4,494</w:t>
            </w:r>
            <w:hyperlink r:id="rId28">
              <w:r>
                <w:rPr>
                  <w:rStyle w:val="Hyperlink"/>
                </w:rPr>
                <w:t xml:space="preserve">[8]</w:t>
              </w:r>
            </w:hyperlink>
            <w:r>
              <w:t xml:space="preserve">. Aggressive rents above \$4.5 k reflect large, new townhomes or renovated single‑family homes.</w:t>
            </w:r>
          </w:p>
        </w:tc>
      </w:tr>
      <w:tr>
        <w:tc>
          <w:tcPr/>
          <w:p>
            <w:pPr>
              <w:pStyle w:val="Compact"/>
            </w:pPr>
            <w:r>
              <w:rPr>
                <w:b/>
                <w:bCs/>
              </w:rPr>
              <w:t xml:space="preserve">4 bed</w:t>
            </w:r>
          </w:p>
        </w:tc>
        <w:tc>
          <w:tcPr/>
          <w:p>
            <w:pPr>
              <w:pStyle w:val="Compact"/>
              <w:jc w:val="right"/>
            </w:pPr>
            <w:r>
              <w:rPr>
                <w:b/>
                <w:bCs/>
              </w:rPr>
              <w:t xml:space="preserve">\$3,500</w:t>
            </w:r>
          </w:p>
        </w:tc>
        <w:tc>
          <w:tcPr/>
          <w:p>
            <w:pPr>
              <w:pStyle w:val="Compact"/>
              <w:jc w:val="right"/>
            </w:pPr>
            <w:r>
              <w:t xml:space="preserve">~\$4,350</w:t>
            </w:r>
          </w:p>
        </w:tc>
        <w:tc>
          <w:tcPr/>
          <w:p>
            <w:pPr>
              <w:pStyle w:val="Compact"/>
              <w:jc w:val="right"/>
            </w:pPr>
            <w:r>
              <w:rPr>
                <w:b/>
                <w:bCs/>
              </w:rPr>
              <w:t xml:space="preserve">\$5,200</w:t>
            </w:r>
          </w:p>
        </w:tc>
        <w:tc>
          <w:tcPr/>
          <w:p>
            <w:pPr>
              <w:pStyle w:val="Compact"/>
            </w:pPr>
            <w:r>
              <w:t xml:space="preserve">MLS median \$3,500; Zillow reports an average of \$5,200</w:t>
            </w:r>
            <w:hyperlink r:id="rId23">
              <w:r>
                <w:rPr>
                  <w:rStyle w:val="Hyperlink"/>
                </w:rPr>
                <w:t xml:space="preserve">[2]</w:t>
              </w:r>
            </w:hyperlink>
            <w:r>
              <w:t xml:space="preserve">. Moderate assumption uses midpoint (~\$4.35 k); aggressive assumption matches current high‑end listings.</w:t>
            </w:r>
          </w:p>
        </w:tc>
      </w:tr>
      <w:tr>
        <w:tc>
          <w:tcPr/>
          <w:p>
            <w:pPr>
              <w:pStyle w:val="Compact"/>
            </w:pPr>
            <w:r>
              <w:rPr>
                <w:b/>
                <w:bCs/>
              </w:rPr>
              <w:t xml:space="preserve">5 bed</w:t>
            </w:r>
          </w:p>
        </w:tc>
        <w:tc>
          <w:tcPr/>
          <w:p>
            <w:pPr>
              <w:pStyle w:val="Compact"/>
              <w:jc w:val="right"/>
            </w:pPr>
            <w:r>
              <w:rPr>
                <w:b/>
                <w:bCs/>
              </w:rPr>
              <w:t xml:space="preserve">\$4,500</w:t>
            </w:r>
          </w:p>
        </w:tc>
        <w:tc>
          <w:tcPr/>
          <w:p>
            <w:pPr>
              <w:pStyle w:val="Compact"/>
              <w:jc w:val="right"/>
            </w:pPr>
            <w:r>
              <w:rPr>
                <w:b/>
                <w:bCs/>
              </w:rPr>
              <w:t xml:space="preserve">\$5,000</w:t>
            </w:r>
          </w:p>
        </w:tc>
        <w:tc>
          <w:tcPr/>
          <w:p>
            <w:pPr>
              <w:pStyle w:val="Compact"/>
              <w:jc w:val="right"/>
            </w:pPr>
            <w:r>
              <w:rPr>
                <w:b/>
                <w:bCs/>
              </w:rPr>
              <w:t xml:space="preserve">\$6,000</w:t>
            </w:r>
          </w:p>
        </w:tc>
        <w:tc>
          <w:tcPr/>
          <w:p>
            <w:pPr>
              <w:pStyle w:val="Compact"/>
            </w:pPr>
            <w:r>
              <w:t xml:space="preserve">MLS median is \$4,825, but sample size is small. Conservatively, round down to \$4.5 k; moderate uses \$5.0 k; aggressive assumption of \$6 k reflects large luxury homes or furnished rentals.</w:t>
            </w:r>
          </w:p>
        </w:tc>
      </w:tr>
    </w:tbl>
    <w:p>
      <w:pPr>
        <w:pStyle w:val="BodyText"/>
      </w:pPr>
      <w:r>
        <w:t xml:space="preserve">These ranges provide starting points for pro‑forma underwriting. Investors should adjust them based on unit condition, location (e.g., Downtown Marlborough vs French Hill), amenities, inclusion of utilities, and local competition. For example, the MLS median for a three‑bedroom house (\$2,995) is appropriate for an older colonial without central air, whereas a brand‑new townhouse near the Assabet River Rail Trail could achieve \$4,000–\$4,500.</w:t>
      </w:r>
    </w:p>
    <w:bookmarkEnd w:id="35"/>
    <w:bookmarkEnd w:id="36"/>
    <w:bookmarkStart w:id="37" w:name="implications-for-investment-strategy"/>
    <w:p>
      <w:pPr>
        <w:pStyle w:val="Heading2"/>
      </w:pPr>
      <w:r>
        <w:t xml:space="preserve">Implications for investment strategy</w:t>
      </w:r>
    </w:p>
    <w:p>
      <w:pPr>
        <w:pStyle w:val="Compact"/>
        <w:numPr>
          <w:ilvl w:val="0"/>
          <w:numId w:val="1003"/>
        </w:numPr>
      </w:pPr>
      <w:r>
        <w:rPr>
          <w:b/>
          <w:bCs/>
        </w:rPr>
        <w:t xml:space="preserve">Focus on value‑add apartments</w:t>
      </w:r>
      <w:r>
        <w:t xml:space="preserve"> </w:t>
      </w:r>
      <w:r>
        <w:t xml:space="preserve">– Because new luxury buildings are commanding high rents, repositioning existing one‑ and two‑bedroom apartments could close the gap between the MLS medians and current market rates. Renovations that add in‑unit laundry, air‑conditioning, and modern finishes may justify rents in the \$2,400–\$2,600 range.</w:t>
      </w:r>
    </w:p>
    <w:p>
      <w:pPr>
        <w:pStyle w:val="Compact"/>
        <w:numPr>
          <w:ilvl w:val="0"/>
          <w:numId w:val="1003"/>
        </w:numPr>
      </w:pPr>
      <w:r>
        <w:rPr>
          <w:b/>
          <w:bCs/>
        </w:rPr>
        <w:t xml:space="preserve">Consider single‑family rentals as yield plays</w:t>
      </w:r>
      <w:r>
        <w:t xml:space="preserve"> </w:t>
      </w:r>
      <w:r>
        <w:t xml:space="preserve">– Single‑family homes have fewer comparable data points but command higher rents per unit. Investors can target 3‑ to 4‑bedroom houses, where moderate assumptions of \$3,200–\$4,300 still undercut new build rents and provide room for appreciation.</w:t>
      </w:r>
    </w:p>
    <w:p>
      <w:pPr>
        <w:pStyle w:val="Compact"/>
        <w:numPr>
          <w:ilvl w:val="0"/>
          <w:numId w:val="1003"/>
        </w:numPr>
      </w:pPr>
      <w:r>
        <w:rPr>
          <w:b/>
          <w:bCs/>
        </w:rPr>
        <w:t xml:space="preserve">Understand neighborhood dynamics</w:t>
      </w:r>
      <w:r>
        <w:t xml:space="preserve"> </w:t>
      </w:r>
      <w:r>
        <w:t xml:space="preserve">– Realtor.com shows median rents ranging from \$1,800 in French Hill to \$2,845 in the Nobscot area</w:t>
      </w:r>
      <w:hyperlink r:id="rId31">
        <w:r>
          <w:rPr>
            <w:rStyle w:val="Hyperlink"/>
          </w:rPr>
          <w:t xml:space="preserve">[11]</w:t>
        </w:r>
      </w:hyperlink>
      <w:r>
        <w:t xml:space="preserve">. Properties near life‑science employers and retail corridors are likely to achieve higher aggressive rents, while outlying neighborhoods may align with conservative assumptions.</w:t>
      </w:r>
    </w:p>
    <w:p>
      <w:pPr>
        <w:pStyle w:val="Compact"/>
        <w:numPr>
          <w:ilvl w:val="0"/>
          <w:numId w:val="1003"/>
        </w:numPr>
      </w:pPr>
      <w:r>
        <w:rPr>
          <w:b/>
          <w:bCs/>
        </w:rPr>
        <w:t xml:space="preserve">Monitor regulatory changes</w:t>
      </w:r>
      <w:r>
        <w:t xml:space="preserve"> </w:t>
      </w:r>
      <w:r>
        <w:t xml:space="preserve">– Massachusetts is considering rent‑stabilization measures and already imposes strict rules on security deposits and eviction timelines; these factors could cap rent growth and influence strategy. Maintaining conservative underwriting assumptions provides a cushion if policy shifts limit future increases.</w:t>
      </w:r>
    </w:p>
    <w:bookmarkEnd w:id="37"/>
    <w:bookmarkStart w:id="38" w:name="conclusion"/>
    <w:p>
      <w:pPr>
        <w:pStyle w:val="Heading2"/>
      </w:pPr>
      <w:r>
        <w:t xml:space="preserve">Conclusion</w:t>
      </w:r>
    </w:p>
    <w:p>
      <w:pPr>
        <w:pStyle w:val="FirstParagraph"/>
      </w:pPr>
      <w:r>
        <w:t xml:space="preserve">By integrating historical MLS data with up‑to‑date rental market surveys, this research illustrates how rents in Marlborough have moved from sub‑\$2,000 levels for small units to above \$2,500 for modern one‑bedroom apartments in just a few years. Rents for three‑ and four‑bedroom houses now routinely exceed \$3,500, reflecting both scarce supply and growing demand from professionals employed at nearby life‑science and technology companies. The conservative, moderate and aggressive rent assumptions presented here give investors a framework for underwriting acquisitions and redevelopment projects. Actual rent targets should be refined based on unit quality, location and regulatory developments, but these ranges demonstrate the significant upside potential relative to historical benchmarks.</w:t>
      </w:r>
    </w:p>
    <w:bookmarkEnd w:id="38"/>
    <w:bookmarkEnd w:id="39"/>
    <w:bookmarkEnd w:id="40"/>
    <w:p>
      <w:r>
        <w:pict>
          <v:rect style="width:0;height:1.5pt" o:hralign="center" o:hrstd="t" o:hr="t"/>
        </w:pict>
      </w:r>
    </w:p>
    <w:bookmarkStart w:id="46" w:name="citations"/>
    <w:p>
      <w:pPr>
        <w:pStyle w:val="FirstParagraph"/>
      </w:pPr>
      <w:hyperlink r:id="rId23">
        <w:r>
          <w:rPr>
            <w:rStyle w:val="Hyperlink"/>
          </w:rPr>
          <w:t xml:space="preserve">[1]</w:t>
        </w:r>
      </w:hyperlink>
      <w:r>
        <w:t xml:space="preserve"> </w:t>
      </w:r>
      <w:hyperlink r:id="rId23">
        <w:r>
          <w:rPr>
            <w:rStyle w:val="Hyperlink"/>
          </w:rPr>
          <w:t xml:space="preserve">[2]</w:t>
        </w:r>
      </w:hyperlink>
      <w:r>
        <w:t xml:space="preserve"> </w:t>
      </w:r>
      <w:r>
        <w:t xml:space="preserve">Average Rental Price in Marlborough, MA | $2,400</w:t>
      </w:r>
    </w:p>
    <w:p>
      <w:pPr>
        <w:pStyle w:val="BodyText"/>
      </w:pPr>
      <w:hyperlink r:id="rId41">
        <w:r>
          <w:rPr>
            <w:rStyle w:val="Hyperlink"/>
          </w:rPr>
          <w:t xml:space="preserve">https://www.zillow.com/rental-manager/market-trends/marlborough-ma/</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Average Rent in Marlborough, MA: 2026 Rent Prices by Neighborhood</w:t>
      </w:r>
    </w:p>
    <w:p>
      <w:pPr>
        <w:pStyle w:val="BodyText"/>
      </w:pPr>
      <w:hyperlink r:id="rId42">
        <w:r>
          <w:rPr>
            <w:rStyle w:val="Hyperlink"/>
          </w:rPr>
          <w:t xml:space="preserve">https://www.rentcafe.com/average-rent-market-trends/us/ma/marlborough/</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Rental Market Trends &amp; Average Rent in Marlborough, MA</w:t>
      </w:r>
      <w:r>
        <w:t xml:space="preserve"> </w:t>
      </w:r>
      <w:r>
        <w:t xml:space="preserve">| Rent.</w:t>
      </w:r>
    </w:p>
    <w:p>
      <w:pPr>
        <w:pStyle w:val="BodyText"/>
      </w:pPr>
      <w:hyperlink r:id="rId43">
        <w:r>
          <w:rPr>
            <w:rStyle w:val="Hyperlink"/>
          </w:rPr>
          <w:t xml:space="preserve">https://www.rent.com/massachusetts/marlborough-apartments/rent-trends</w:t>
        </w:r>
      </w:hyperlink>
    </w:p>
    <w:p>
      <w:pPr>
        <w:pStyle w:val="BodyText"/>
      </w:pPr>
      <w:hyperlink r:id="rId28">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Rentometer: Average Rent in Marlborough, MA</w:t>
      </w:r>
    </w:p>
    <w:p>
      <w:pPr>
        <w:pStyle w:val="BodyText"/>
      </w:pPr>
      <w:hyperlink r:id="rId44">
        <w:r>
          <w:rPr>
            <w:rStyle w:val="Hyperlink"/>
          </w:rPr>
          <w:t xml:space="preserve">https://www.rentometer.com/average-rent-in/ma/marlborough-ma</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Marlborough, MA Housing Market &amp; Rental trends - Home Prices, Rent, Inventory &amp; More | realtor.com®</w:t>
      </w:r>
    </w:p>
    <w:p>
      <w:pPr>
        <w:pStyle w:val="BodyText"/>
      </w:pPr>
      <w:hyperlink r:id="rId45">
        <w:r>
          <w:rPr>
            <w:rStyle w:val="Hyperlink"/>
          </w:rPr>
          <w:t xml:space="preserve">https://www.realtor.com/local/market/massachusetts/middlesex-county/marlborough</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www.realtor.com/local/market/massachusetts/middlesex-county/marlborough" TargetMode="External" /><Relationship Type="http://schemas.openxmlformats.org/officeDocument/2006/relationships/hyperlink" Id="rId30" Target="https://www.realtor.com/local/market/massachusetts/middlesex-county/marlborough#:~:text=Median%20rent%20%242%2C441%2Fmo%200.43%25%20" TargetMode="External" /><Relationship Type="http://schemas.openxmlformats.org/officeDocument/2006/relationships/hyperlink" Id="rId31" Target="https://www.realtor.com/local/market/massachusetts/middlesex-county/marlborough#:~:text=Neighborhood%20Median%20home%20price%20Listing,104%20%24491%2C000%20%24326%20%243%2C133%20%2Fmo" TargetMode="External" /><Relationship Type="http://schemas.openxmlformats.org/officeDocument/2006/relationships/hyperlink" Id="rId43" Target="https://www.rent.com/massachusetts/marlborough-apartments/rent-trends" TargetMode="External" /><Relationship Type="http://schemas.openxmlformats.org/officeDocument/2006/relationships/hyperlink" Id="rId27" Target="https://www.rent.com/massachusetts/marlborough-apartments/rent-trends#:~:text=Apartment%20Rent%20Ranges%20in%20Marlborough%2C,MA" TargetMode="External" /><Relationship Type="http://schemas.openxmlformats.org/officeDocument/2006/relationships/hyperlink" Id="rId26" Target="https://www.rent.com/massachusetts/marlborough-apartments/rent-trends#:~:text=Average%20Rent%20in%20Marlborough%2C%20MA" TargetMode="External" /><Relationship Type="http://schemas.openxmlformats.org/officeDocument/2006/relationships/hyperlink" Id="rId42" Target="https://www.rentcafe.com/average-rent-market-trends/us/ma/marlborough/" TargetMode="External" /><Relationship Type="http://schemas.openxmlformats.org/officeDocument/2006/relationships/hyperlink" Id="rId24" Target="https://www.rentcafe.com/average-rent-market-trends/us/ma/marlborough/#:~:text=The%20average%20rent%20for%20an,the%20average%20rent%20was%20%242%2C456" TargetMode="External" /><Relationship Type="http://schemas.openxmlformats.org/officeDocument/2006/relationships/hyperlink" Id="rId25" Target="https://www.rentcafe.com/average-rent-market-trends/us/ma/marlborough/#:~:text=The%20largest%20share%20of%20rentals,suitable%20apartments%20within%20this%20price" TargetMode="External" /><Relationship Type="http://schemas.openxmlformats.org/officeDocument/2006/relationships/hyperlink" Id="rId44" Target="https://www.rentometer.com/average-rent-in/ma/marlborough-ma" TargetMode="External" /><Relationship Type="http://schemas.openxmlformats.org/officeDocument/2006/relationships/hyperlink" Id="rId29" Target="https://www.rentometer.com/average-rent-in/ma/marlborough-ma#:~:text=Marlborough%E2%80%99s%20rental%20market%20offers%20a,of%20price%20points%20reflects%20the" TargetMode="External" /><Relationship Type="http://schemas.openxmlformats.org/officeDocument/2006/relationships/hyperlink" Id="rId28" Target="https://www.rentometer.com/average-rent-in/ma/marlborough-ma#:~:text=Property%20Type%20Bedrooms%20Average%20Median,%244%2C494" TargetMode="External" /><Relationship Type="http://schemas.openxmlformats.org/officeDocument/2006/relationships/hyperlink" Id="rId41" Target="https://www.zillow.com/rental-manager/market-trends/marlborough-ma/" TargetMode="External" /><Relationship Type="http://schemas.openxmlformats.org/officeDocument/2006/relationships/hyperlink" Id="rId23" Target="https://www.zillow.com/rental-manager/market-trends/marlborough-ma/#:~:text=2,studio%20apartment%20in%20Marlborough%2C%20MA" TargetMode="External" /></Relationships>
</file>

<file path=word/_rels/footnotes.xml.rels><?xml version="1.0" encoding="UTF-8"?><Relationships xmlns="http://schemas.openxmlformats.org/package/2006/relationships"><Relationship Type="http://schemas.openxmlformats.org/officeDocument/2006/relationships/hyperlink" Id="rId45" Target="https://www.realtor.com/local/market/massachusetts/middlesex-county/marlborough" TargetMode="External" /><Relationship Type="http://schemas.openxmlformats.org/officeDocument/2006/relationships/hyperlink" Id="rId30" Target="https://www.realtor.com/local/market/massachusetts/middlesex-county/marlborough#:~:text=Median%20rent%20%242%2C441%2Fmo%200.43%25%20" TargetMode="External" /><Relationship Type="http://schemas.openxmlformats.org/officeDocument/2006/relationships/hyperlink" Id="rId31" Target="https://www.realtor.com/local/market/massachusetts/middlesex-county/marlborough#:~:text=Neighborhood%20Median%20home%20price%20Listing,104%20%24491%2C000%20%24326%20%243%2C133%20%2Fmo" TargetMode="External" /><Relationship Type="http://schemas.openxmlformats.org/officeDocument/2006/relationships/hyperlink" Id="rId43" Target="https://www.rent.com/massachusetts/marlborough-apartments/rent-trends" TargetMode="External" /><Relationship Type="http://schemas.openxmlformats.org/officeDocument/2006/relationships/hyperlink" Id="rId27" Target="https://www.rent.com/massachusetts/marlborough-apartments/rent-trends#:~:text=Apartment%20Rent%20Ranges%20in%20Marlborough%2C,MA" TargetMode="External" /><Relationship Type="http://schemas.openxmlformats.org/officeDocument/2006/relationships/hyperlink" Id="rId26" Target="https://www.rent.com/massachusetts/marlborough-apartments/rent-trends#:~:text=Average%20Rent%20in%20Marlborough%2C%20MA" TargetMode="External" /><Relationship Type="http://schemas.openxmlformats.org/officeDocument/2006/relationships/hyperlink" Id="rId42" Target="https://www.rentcafe.com/average-rent-market-trends/us/ma/marlborough/" TargetMode="External" /><Relationship Type="http://schemas.openxmlformats.org/officeDocument/2006/relationships/hyperlink" Id="rId24" Target="https://www.rentcafe.com/average-rent-market-trends/us/ma/marlborough/#:~:text=The%20average%20rent%20for%20an,the%20average%20rent%20was%20%242%2C456" TargetMode="External" /><Relationship Type="http://schemas.openxmlformats.org/officeDocument/2006/relationships/hyperlink" Id="rId25" Target="https://www.rentcafe.com/average-rent-market-trends/us/ma/marlborough/#:~:text=The%20largest%20share%20of%20rentals,suitable%20apartments%20within%20this%20price" TargetMode="External" /><Relationship Type="http://schemas.openxmlformats.org/officeDocument/2006/relationships/hyperlink" Id="rId44" Target="https://www.rentometer.com/average-rent-in/ma/marlborough-ma" TargetMode="External" /><Relationship Type="http://schemas.openxmlformats.org/officeDocument/2006/relationships/hyperlink" Id="rId29" Target="https://www.rentometer.com/average-rent-in/ma/marlborough-ma#:~:text=Marlborough%E2%80%99s%20rental%20market%20offers%20a,of%20price%20points%20reflects%20the" TargetMode="External" /><Relationship Type="http://schemas.openxmlformats.org/officeDocument/2006/relationships/hyperlink" Id="rId28" Target="https://www.rentometer.com/average-rent-in/ma/marlborough-ma#:~:text=Property%20Type%20Bedrooms%20Average%20Median,%244%2C494" TargetMode="External" /><Relationship Type="http://schemas.openxmlformats.org/officeDocument/2006/relationships/hyperlink" Id="rId41" Target="https://www.zillow.com/rental-manager/market-trends/marlborough-ma/" TargetMode="External" /><Relationship Type="http://schemas.openxmlformats.org/officeDocument/2006/relationships/hyperlink" Id="rId23" Target="https://www.zillow.com/rental-manager/market-trends/marlborough-ma/#:~:text=2,studio%20apartment%20in%20Marlborough%2C%20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2026-02-02T23:28:15Z</dcterms:created>
  <dcterms:modified xsi:type="dcterms:W3CDTF">2026-02-02T23:28:15Z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