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4612eb5974f953b0aca90c87d69ba3495943cc3"/>
    <w:p>
      <w:pPr>
        <w:pStyle w:val="Heading1"/>
      </w:pPr>
      <w:r>
        <w:t xml:space="preserve">Marlborough, Massachusetts Real‑Estate Investment Memorandum (2026)</w:t>
      </w:r>
    </w:p>
    <w:bookmarkStart w:id="24" w:name="executive-summary"/>
    <w:p>
      <w:pPr>
        <w:pStyle w:val="Heading2"/>
      </w:pPr>
      <w:r>
        <w:t xml:space="preserve">Executive Summary</w:t>
      </w:r>
    </w:p>
    <w:p>
      <w:pPr>
        <w:pStyle w:val="FirstParagraph"/>
      </w:pPr>
      <w:r>
        <w:t xml:space="preserve">Marlborough, Massachusetts sits at the crossroads of Greater Boston and the 495/MetroWest corridor. The city benefits from a diversified economy anchored by life‑science and technology companies (Cytiva, Boston Scientific, Hologic, Raytheon, BJ’s Wholesale, TJX) and offers access to major highways (I‑495, I‑290, Route 20/85/9)</w:t>
      </w:r>
      <w:hyperlink r:id="rId21">
        <w:r>
          <w:rPr>
            <w:rStyle w:val="Hyperlink"/>
          </w:rPr>
          <w:t xml:space="preserve">[1]</w:t>
        </w:r>
      </w:hyperlink>
      <w:r>
        <w:t xml:space="preserve">. Household incomes are high (median ≈ $99 k) and unemployment is low</w:t>
      </w:r>
      <w:hyperlink r:id="rId21">
        <w:r>
          <w:rPr>
            <w:rStyle w:val="Hyperlink"/>
          </w:rPr>
          <w:t xml:space="preserve">[1]</w:t>
        </w:r>
      </w:hyperlink>
      <w:r>
        <w:t xml:space="preserve">. Recent legislation liberalizing accessory dwelling units (ADUs) up to 900 sq ft without special permits</w:t>
      </w:r>
      <w:hyperlink r:id="rId22">
        <w:r>
          <w:rPr>
            <w:rStyle w:val="Hyperlink"/>
          </w:rPr>
          <w:t xml:space="preserve">[2]</w:t>
        </w:r>
      </w:hyperlink>
      <w:r>
        <w:t xml:space="preserve">, combined with falling property tax rates (residential rate 10.54 per $1 000 in FY 2026</w:t>
      </w:r>
      <w:hyperlink r:id="rId23">
        <w:r>
          <w:rPr>
            <w:rStyle w:val="Hyperlink"/>
          </w:rPr>
          <w:t xml:space="preserve">[3]</w:t>
        </w:r>
      </w:hyperlink>
      <w:r>
        <w:t xml:space="preserve">), creates new opportunities for investors. However, supply is tight and cap rates have compressed in recent years: multifamily and condo assets trade around 5–6 % entry yields, and single‑family rentals are often in the 4–5 % range, reflecting Marlborough’s status as a Boston‑adjacent appreciation market. Successful strategies therefore balance cash flow with optionality—value‑add renovations, ADU creation and selective redevelopment.</w:t>
      </w:r>
    </w:p>
    <w:bookmarkEnd w:id="24"/>
    <w:bookmarkStart w:id="29" w:name="historic-market-analysis"/>
    <w:p>
      <w:pPr>
        <w:pStyle w:val="Heading2"/>
      </w:pPr>
      <w:r>
        <w:t xml:space="preserve">1 Historic Market Analysis</w:t>
      </w:r>
    </w:p>
    <w:bookmarkStart w:id="27" w:name="pricing-rent-and-volume-trends"/>
    <w:p>
      <w:pPr>
        <w:pStyle w:val="Heading3"/>
      </w:pPr>
      <w:r>
        <w:t xml:space="preserve">1.1 Pricing, Rent and Volume Trends</w:t>
      </w:r>
    </w:p>
    <w:p>
      <w:pPr>
        <w:pStyle w:val="FirstParagraph"/>
      </w:pPr>
      <w:r>
        <w:rPr>
          <w:b/>
          <w:bCs/>
        </w:rPr>
        <w:t xml:space="preserve">Single‑family (SF).</w:t>
      </w:r>
      <w:r>
        <w:t xml:space="preserve"> </w:t>
      </w:r>
      <w:r>
        <w:t xml:space="preserve">Median sale prices rose from ≈ $505 k in 2021 to ≈ $615 k in 2025 as limited inventory and strong demographic demand drove appreciation. Median price per square foot climbed from ≈ $311/ft² to ≈ $350/ft², while median days on market (DOM) held near 19 days until 2024 and then jumped to 30 days in 2025 as higher interest rates dampened affordability. Transaction volume peaked at 569 sales in 2022 and fell to 324 in 2025, indicating reduced liquidity.</w:t>
      </w:r>
    </w:p>
    <w:p>
      <w:pPr>
        <w:pStyle w:val="BodyText"/>
      </w:pPr>
      <w:r>
        <w:rPr>
          <w:b/>
          <w:bCs/>
        </w:rPr>
        <w:t xml:space="preserve">Condos (CC).</w:t>
      </w:r>
      <w:r>
        <w:t xml:space="preserve"> </w:t>
      </w:r>
      <w:r>
        <w:t xml:space="preserve">Condominiums delivered steady appreciation: median sale prices increased from ≈ $370 k in 2021 to ≈ $445 k in 2025 and price per square foot from ≈ $342/ft² to ≈ $381/ft². DOM lengthened from 15–18 days to 29 days in 2025, reflecting slower absorption of new product. Sales volume declined modestly from 148 units in 2021 to 113 units in 2025.</w:t>
      </w:r>
    </w:p>
    <w:p>
      <w:pPr>
        <w:pStyle w:val="BodyText"/>
      </w:pPr>
      <w:r>
        <w:rPr>
          <w:b/>
          <w:bCs/>
        </w:rPr>
        <w:t xml:space="preserve">Multi‑family (MF).</w:t>
      </w:r>
      <w:r>
        <w:t xml:space="preserve"> </w:t>
      </w:r>
      <w:r>
        <w:t xml:space="preserve">Two‑ to four‑unit buildings remain scarce. Median sale prices increased from ≈ $615 k in 2021 to ≈ $760 k in 2025, and price per square foot rose from ≈ $272/ft² to ≈ $319/ft². Days on market lengthened from ~22 to ~30.5 days, and transaction volume fluctuated around 60 sales annually, underscoring limited supply and larger capital requirements.</w:t>
      </w:r>
    </w:p>
    <w:p>
      <w:pPr>
        <w:pStyle w:val="BodyText"/>
      </w:pPr>
      <w:r>
        <w:rPr>
          <w:b/>
          <w:bCs/>
        </w:rPr>
        <w:t xml:space="preserve">Rentals (RN).</w:t>
      </w:r>
      <w:r>
        <w:t xml:space="preserve"> </w:t>
      </w:r>
      <w:r>
        <w:t xml:space="preserve">MLS rental listings show median monthly rents of ≈ $2 150 for 2025 (all unit types), up from ≈ $2 250 in 2021. External sources report higher averages: RentCafe’s 2026 market survey lists average rents of $1 525 for studios, $2 357 for one‑bedroom units and $3 505 for three‑bedroom units</w:t>
      </w:r>
      <w:hyperlink r:id="rId25">
        <w:r>
          <w:rPr>
            <w:rStyle w:val="Hyperlink"/>
          </w:rPr>
          <w:t xml:space="preserve">[4]</w:t>
        </w:r>
      </w:hyperlink>
      <w:r>
        <w:t xml:space="preserve">, while Rent.com reports one‑bedroom averages around $2 840</w:t>
      </w:r>
      <w:hyperlink r:id="rId26">
        <w:r>
          <w:rPr>
            <w:rStyle w:val="Hyperlink"/>
          </w:rPr>
          <w:t xml:space="preserve">[5]</w:t>
        </w:r>
      </w:hyperlink>
      <w:r>
        <w:t xml:space="preserve">. The gap reflects that MLS rentals often capture smaller or older units, whereas market surveys include new luxury product.</w:t>
      </w:r>
    </w:p>
    <w:bookmarkEnd w:id="27"/>
    <w:bookmarkStart w:id="28" w:name="segmentation-days-on-market"/>
    <w:p>
      <w:pPr>
        <w:pStyle w:val="Heading3"/>
      </w:pPr>
      <w:r>
        <w:t xml:space="preserve">1.2 Segmentation &amp; Days on Market</w:t>
      </w:r>
    </w:p>
    <w:p>
      <w:pPr>
        <w:pStyle w:val="FirstParagraph"/>
      </w:pPr>
      <w:r>
        <w:t xml:space="preserve">The single‑family segment dominates volume, representing ~60 % of all transactions. Condos provide lower entry points and moderate HOA fees but face competition from new apartment communities. Multi‑family assets deliver higher cash yields but trade infrequently. Rental properties show the longest DOM (median ~32 days in 2025), partly because listings are reposted if unfilled. Across all segments, DOM increased in 2025 due to rising mortgage rates.</w:t>
      </w:r>
    </w:p>
    <w:bookmarkEnd w:id="28"/>
    <w:bookmarkEnd w:id="29"/>
    <w:bookmarkStart w:id="52" w:name="external-research-findings-constraints"/>
    <w:p>
      <w:pPr>
        <w:pStyle w:val="Heading2"/>
      </w:pPr>
      <w:r>
        <w:t xml:space="preserve">2 External Research Findings &amp; Constraints</w:t>
      </w:r>
    </w:p>
    <w:bookmarkStart w:id="34" w:name="regulatory-zoning-context"/>
    <w:p>
      <w:pPr>
        <w:pStyle w:val="Heading3"/>
      </w:pPr>
      <w:r>
        <w:t xml:space="preserve">2.1 Regulatory &amp; Zoning Context</w:t>
      </w:r>
    </w:p>
    <w:p>
      <w:pPr>
        <w:pStyle w:val="FirstParagraph"/>
      </w:pPr>
      <w:r>
        <w:rPr>
          <w:b/>
          <w:bCs/>
        </w:rPr>
        <w:t xml:space="preserve">Accessory Dwelling Units (ADUs).</w:t>
      </w:r>
      <w:r>
        <w:t xml:space="preserve"> </w:t>
      </w:r>
      <w:r>
        <w:t xml:space="preserve">Massachusetts’ Affordable Homes Act (2024) authorizes ADUs up to 900 sq ft by right in single‑family districts. Municipalities may not require owner‑occupancy, may not impose more than one off‑street parking space (none within 0.5 mile of public transit) and may not prohibit ADUs unless for health or safety reasons</w:t>
      </w:r>
      <w:hyperlink r:id="rId22">
        <w:r>
          <w:rPr>
            <w:rStyle w:val="Hyperlink"/>
          </w:rPr>
          <w:t xml:space="preserve">[2]</w:t>
        </w:r>
      </w:hyperlink>
      <w:r>
        <w:t xml:space="preserve">. ADUs must have a separate entrance and may be internal, attached or detached. Marlborough’s zoning still requires that the ADU area not exceed one‑half the gross floor area of the principal dwelling.</w:t>
      </w:r>
    </w:p>
    <w:p>
      <w:pPr>
        <w:pStyle w:val="BodyText"/>
      </w:pPr>
      <w:r>
        <w:rPr>
          <w:b/>
          <w:bCs/>
        </w:rPr>
        <w:t xml:space="preserve">Zoning conversion to two‑family or multi‑family.</w:t>
      </w:r>
      <w:r>
        <w:t xml:space="preserve"> </w:t>
      </w:r>
      <w:r>
        <w:t xml:space="preserve">The city’s zoning code allows conversion of a single‑family house to a two‑family if the structure contains at least 1 800 sq ft of gross floor area and the lot meets minimum size requirements (≈ 15 000 sq ft in Rural Residence or 10 000 sq ft in Residence A districts). Each dwelling unit must provide at least 600 sq ft of floor area and preserve the exterior character of a single‑family home</w:t>
      </w:r>
      <w:hyperlink r:id="rId30">
        <w:r>
          <w:rPr>
            <w:rStyle w:val="Hyperlink"/>
          </w:rPr>
          <w:t xml:space="preserve">[6]</w:t>
        </w:r>
      </w:hyperlink>
      <w:r>
        <w:t xml:space="preserve">. Multi‑family dwellings (three or more units) require landscaped area and lot area per family (≈ 5 000 sq ft)</w:t>
      </w:r>
      <w:hyperlink r:id="rId30">
        <w:r>
          <w:rPr>
            <w:rStyle w:val="Hyperlink"/>
          </w:rPr>
          <w:t xml:space="preserve">[6]</w:t>
        </w:r>
      </w:hyperlink>
      <w:r>
        <w:t xml:space="preserve">.</w:t>
      </w:r>
    </w:p>
    <w:p>
      <w:pPr>
        <w:pStyle w:val="BodyText"/>
      </w:pPr>
      <w:r>
        <w:rPr>
          <w:b/>
          <w:bCs/>
        </w:rPr>
        <w:t xml:space="preserve">Tenant protections &amp; rent regulation.</w:t>
      </w:r>
      <w:r>
        <w:t xml:space="preserve"> </w:t>
      </w:r>
      <w:r>
        <w:t xml:space="preserve">Massachusetts permits landlords to collect first and last month’s rent plus a security deposit equal to one month’s rent. Security deposits must be held in an interest‑bearing account and cannot be used for other purposes</w:t>
      </w:r>
      <w:hyperlink r:id="rId31">
        <w:r>
          <w:rPr>
            <w:rStyle w:val="Hyperlink"/>
          </w:rPr>
          <w:t xml:space="preserve">[7]</w:t>
        </w:r>
      </w:hyperlink>
      <w:r>
        <w:t xml:space="preserve">. For non‑payment of rent, landlords must give at least 14 days’ notice before starting eviction proceedings</w:t>
      </w:r>
      <w:hyperlink r:id="rId32">
        <w:r>
          <w:rPr>
            <w:rStyle w:val="Hyperlink"/>
          </w:rPr>
          <w:t xml:space="preserve">[8]</w:t>
        </w:r>
      </w:hyperlink>
      <w:r>
        <w:t xml:space="preserve">. A proposed rent‑control initiative (2026 ballot) would limit annual rent increases to the lower of CPI or 5 %, exempting owner‑occupied buildings with four or fewer units and newly constructed units (&lt; 10 years)</w:t>
      </w:r>
      <w:hyperlink r:id="rId33">
        <w:r>
          <w:rPr>
            <w:rStyle w:val="Hyperlink"/>
          </w:rPr>
          <w:t xml:space="preserve">[9]</w:t>
        </w:r>
      </w:hyperlink>
      <w:r>
        <w:t xml:space="preserve">—a potential headwind for aggressive rent‑growth assumptions.</w:t>
      </w:r>
    </w:p>
    <w:p>
      <w:pPr>
        <w:pStyle w:val="BodyText"/>
      </w:pPr>
      <w:r>
        <w:rPr>
          <w:b/>
          <w:bCs/>
        </w:rPr>
        <w:t xml:space="preserve">Property taxes.</w:t>
      </w:r>
      <w:r>
        <w:t xml:space="preserve"> </w:t>
      </w:r>
      <w:r>
        <w:t xml:space="preserve">Marlborough employs a dual tax rate: FY 2026 residential rate is 10.54 per $1 000 of assessed value, and commercial/industrial/personal property (CIP) rate is 18.43</w:t>
      </w:r>
      <w:hyperlink r:id="rId23">
        <w:r>
          <w:rPr>
            <w:rStyle w:val="Hyperlink"/>
          </w:rPr>
          <w:t xml:space="preserve">[3]</w:t>
        </w:r>
      </w:hyperlink>
      <w:r>
        <w:t xml:space="preserve">. Rates have declined steadily since 2022, reflecting a growing commercial tax base and disciplined municipal spending.</w:t>
      </w:r>
    </w:p>
    <w:bookmarkEnd w:id="34"/>
    <w:bookmarkStart w:id="44" w:name="demographics-economic-drivers"/>
    <w:p>
      <w:pPr>
        <w:pStyle w:val="Heading3"/>
      </w:pPr>
      <w:r>
        <w:t xml:space="preserve">2.2 Demographics &amp; Economic Drivers</w:t>
      </w:r>
    </w:p>
    <w:p>
      <w:pPr>
        <w:pStyle w:val="FirstParagraph"/>
      </w:pPr>
      <w:r>
        <w:t xml:space="preserve">Marlborough’s population grew modestly to ≈ 42 169 by 2024</w:t>
      </w:r>
      <w:hyperlink r:id="rId35">
        <w:r>
          <w:rPr>
            <w:rStyle w:val="Hyperlink"/>
          </w:rPr>
          <w:t xml:space="preserve">[10]</w:t>
        </w:r>
      </w:hyperlink>
      <w:r>
        <w:t xml:space="preserve">. Owner‑occupied housing accounts for 56 % of units</w:t>
      </w:r>
      <w:hyperlink r:id="rId36">
        <w:r>
          <w:rPr>
            <w:rStyle w:val="Hyperlink"/>
          </w:rPr>
          <w:t xml:space="preserve">[11]</w:t>
        </w:r>
      </w:hyperlink>
      <w:r>
        <w:t xml:space="preserve">; median household income is ≈ $92 k and per‑capita income ≈ $46 k</w:t>
      </w:r>
      <w:hyperlink r:id="rId37">
        <w:r>
          <w:rPr>
            <w:rStyle w:val="Hyperlink"/>
          </w:rPr>
          <w:t xml:space="preserve">[12]</w:t>
        </w:r>
      </w:hyperlink>
      <w:r>
        <w:t xml:space="preserve">, with 87.9 % of adults holding at least a high‑school diploma and 40.5 % having a bachelor’s degree or higher</w:t>
      </w:r>
      <w:hyperlink r:id="rId38">
        <w:r>
          <w:rPr>
            <w:rStyle w:val="Hyperlink"/>
          </w:rPr>
          <w:t xml:space="preserve">[13]</w:t>
        </w:r>
      </w:hyperlink>
      <w:r>
        <w:t xml:space="preserve">. Unemployment is low (≈ 3.6 %)</w:t>
      </w:r>
      <w:hyperlink r:id="rId21">
        <w:r>
          <w:rPr>
            <w:rStyle w:val="Hyperlink"/>
          </w:rPr>
          <w:t xml:space="preserve">[1]</w:t>
        </w:r>
      </w:hyperlink>
      <w:r>
        <w:t xml:space="preserve">. The city is home to major employers—Cytiva, Boston Scientific, Hologic, Raytheon and BJ’s Wholesale—supported by a Tax Increment Financing (TIF) program that has attracted more than $375 million in life‑science investments</w:t>
      </w:r>
      <w:hyperlink r:id="rId39">
        <w:r>
          <w:rPr>
            <w:rStyle w:val="Hyperlink"/>
          </w:rPr>
          <w:t xml:space="preserve">[14]</w:t>
        </w:r>
      </w:hyperlink>
      <w:r>
        <w:t xml:space="preserve">. New mixed‑use projects (Green District, Alta Marlborough, Exchange Place, etc.) will add hundreds of housing units and retail space</w:t>
      </w:r>
      <w:hyperlink r:id="rId40">
        <w:r>
          <w:rPr>
            <w:rStyle w:val="Hyperlink"/>
          </w:rPr>
          <w:t xml:space="preserve">[15]</w:t>
        </w:r>
      </w:hyperlink>
      <w:hyperlink r:id="rId41">
        <w:r>
          <w:rPr>
            <w:rStyle w:val="Hyperlink"/>
          </w:rPr>
          <w:t xml:space="preserve">[16]</w:t>
        </w:r>
      </w:hyperlink>
      <w:hyperlink r:id="rId42">
        <w:r>
          <w:rPr>
            <w:rStyle w:val="Hyperlink"/>
          </w:rPr>
          <w:t xml:space="preserve">[17]</w:t>
        </w:r>
      </w:hyperlink>
      <w:hyperlink r:id="rId43">
        <w:r>
          <w:rPr>
            <w:rStyle w:val="Hyperlink"/>
          </w:rPr>
          <w:t xml:space="preserve">[18]</w:t>
        </w:r>
      </w:hyperlink>
      <w:r>
        <w:t xml:space="preserve">.</w:t>
      </w:r>
    </w:p>
    <w:bookmarkEnd w:id="44"/>
    <w:bookmarkStart w:id="51" w:name="macro-environment"/>
    <w:p>
      <w:pPr>
        <w:pStyle w:val="Heading3"/>
      </w:pPr>
      <w:r>
        <w:t xml:space="preserve">2.3 Macro Environment</w:t>
      </w:r>
    </w:p>
    <w:p>
      <w:pPr>
        <w:pStyle w:val="FirstParagraph"/>
      </w:pPr>
      <w:r>
        <w:t xml:space="preserve">Cap rates across Greater Boston average roughly</w:t>
      </w:r>
      <w:r>
        <w:t xml:space="preserve"> </w:t>
      </w:r>
      <w:r>
        <w:rPr>
          <w:b/>
          <w:bCs/>
        </w:rPr>
        <w:t xml:space="preserve">5.1 %</w:t>
      </w:r>
      <w:r>
        <w:t xml:space="preserve"> </w:t>
      </w:r>
      <w:r>
        <w:t xml:space="preserve">for multifamily assets</w:t>
      </w:r>
      <w:hyperlink r:id="rId45">
        <w:r>
          <w:rPr>
            <w:rStyle w:val="Hyperlink"/>
          </w:rPr>
          <w:t xml:space="preserve">[19]</w:t>
        </w:r>
      </w:hyperlink>
      <w:hyperlink r:id="rId46">
        <w:r>
          <w:rPr>
            <w:rStyle w:val="Hyperlink"/>
          </w:rPr>
          <w:t xml:space="preserve">[20]</w:t>
        </w:r>
      </w:hyperlink>
      <w:r>
        <w:t xml:space="preserve">. Class A properties trade between 4.8–5.5 %; Class B 5.5–6.5 %; Class C 6.5–7.5 %</w:t>
      </w:r>
      <w:hyperlink r:id="rId47">
        <w:r>
          <w:rPr>
            <w:rStyle w:val="Hyperlink"/>
          </w:rPr>
          <w:t xml:space="preserve">[21]</w:t>
        </w:r>
      </w:hyperlink>
      <w:r>
        <w:t xml:space="preserve">. Interest rates remain elevated but may decline modestly in 2026 as inflation falls towards 3 %</w:t>
      </w:r>
      <w:hyperlink r:id="rId48">
        <w:r>
          <w:rPr>
            <w:rStyle w:val="Hyperlink"/>
          </w:rPr>
          <w:t xml:space="preserve">[22]</w:t>
        </w:r>
      </w:hyperlink>
      <w:r>
        <w:t xml:space="preserve">. Government‑sponsored lenders are expanding capacity</w:t>
      </w:r>
      <w:hyperlink r:id="rId49">
        <w:r>
          <w:rPr>
            <w:rStyle w:val="Hyperlink"/>
          </w:rPr>
          <w:t xml:space="preserve">[23]</w:t>
        </w:r>
      </w:hyperlink>
      <w:r>
        <w:t xml:space="preserve">, yet underwriting remains conservative, emphasising durable cash flow and lower leverage</w:t>
      </w:r>
      <w:hyperlink r:id="rId50">
        <w:r>
          <w:rPr>
            <w:rStyle w:val="Hyperlink"/>
          </w:rPr>
          <w:t xml:space="preserve">[24]</w:t>
        </w:r>
      </w:hyperlink>
      <w:r>
        <w:t xml:space="preserve">. Marlborough’s suburban location generally commands cap rates 50–100 basis points higher than core Boston neighborhoods.</w:t>
      </w:r>
    </w:p>
    <w:bookmarkEnd w:id="51"/>
    <w:bookmarkEnd w:id="52"/>
    <w:bookmarkStart w:id="53" w:name="X83e8d10ed0043d7172a8bf65cec210a15cf339c"/>
    <w:p>
      <w:pPr>
        <w:pStyle w:val="Heading2"/>
      </w:pPr>
      <w:r>
        <w:t xml:space="preserve">3 Cap‑Rate Environment &amp; Strategic Implications</w:t>
      </w:r>
    </w:p>
    <w:p>
      <w:pPr>
        <w:pStyle w:val="FirstParagraph"/>
      </w:pPr>
      <w:r>
        <w:t xml:space="preserve">Marlborough’s cap‑rate landscape reflects both the region’s strong fundamentals and its suburban risk premium.</w:t>
      </w:r>
      <w:r>
        <w:t xml:space="preserve"> </w:t>
      </w:r>
      <w:r>
        <w:rPr>
          <w:b/>
          <w:bCs/>
        </w:rPr>
        <w:t xml:space="preserve">Single‑family rentals</w:t>
      </w:r>
      <w:r>
        <w:t xml:space="preserve"> </w:t>
      </w:r>
      <w:r>
        <w:t xml:space="preserve">and</w:t>
      </w:r>
      <w:r>
        <w:t xml:space="preserve"> </w:t>
      </w:r>
      <w:r>
        <w:rPr>
          <w:b/>
          <w:bCs/>
        </w:rPr>
        <w:t xml:space="preserve">condos</w:t>
      </w:r>
      <w:r>
        <w:t xml:space="preserve"> </w:t>
      </w:r>
      <w:r>
        <w:t xml:space="preserve">typically transact around</w:t>
      </w:r>
      <w:r>
        <w:t xml:space="preserve"> </w:t>
      </w:r>
      <w:r>
        <w:rPr>
          <w:b/>
          <w:bCs/>
        </w:rPr>
        <w:t xml:space="preserve">5–6 %</w:t>
      </w:r>
      <w:r>
        <w:t xml:space="preserve"> </w:t>
      </w:r>
      <w:r>
        <w:t xml:space="preserve">entry cap rates, slightly higher than downtown Boston but lower than outlying rural markets.</w:t>
      </w:r>
      <w:r>
        <w:t xml:space="preserve"> </w:t>
      </w:r>
      <w:r>
        <w:rPr>
          <w:b/>
          <w:bCs/>
        </w:rPr>
        <w:t xml:space="preserve">Small multi‑family properties</w:t>
      </w:r>
      <w:r>
        <w:t xml:space="preserve"> </w:t>
      </w:r>
      <w:r>
        <w:t xml:space="preserve">trade at</w:t>
      </w:r>
      <w:r>
        <w:t xml:space="preserve"> </w:t>
      </w:r>
      <w:r>
        <w:rPr>
          <w:b/>
          <w:bCs/>
        </w:rPr>
        <w:t xml:space="preserve">5.5–7 %</w:t>
      </w:r>
      <w:r>
        <w:t xml:space="preserve">, depending on building condition and location.</w:t>
      </w:r>
      <w:r>
        <w:t xml:space="preserve"> </w:t>
      </w:r>
      <w:r>
        <w:rPr>
          <w:b/>
          <w:bCs/>
        </w:rPr>
        <w:t xml:space="preserve">Development and redevelopment projects</w:t>
      </w:r>
      <w:r>
        <w:t xml:space="preserve"> </w:t>
      </w:r>
      <w:r>
        <w:t xml:space="preserve">require higher yields (7–8 %) due to entitlement risk and construction cost volatility. Cap rates have expanded modestly since 2022 as rising interest rates reduced leverage and slowed price appreciation; however, supply constraints and continued wage growth keep yields compressed relative to national averages. Investors should therefore pursue strategies that generate</w:t>
      </w:r>
      <w:r>
        <w:t xml:space="preserve"> </w:t>
      </w:r>
      <w:r>
        <w:rPr>
          <w:b/>
          <w:bCs/>
        </w:rPr>
        <w:t xml:space="preserve">forced appreciation</w:t>
      </w:r>
      <w:r>
        <w:t xml:space="preserve"> </w:t>
      </w:r>
      <w:r>
        <w:t xml:space="preserve">(through renovations or ADUs) or unlock</w:t>
      </w:r>
      <w:r>
        <w:t xml:space="preserve"> </w:t>
      </w:r>
      <w:r>
        <w:rPr>
          <w:b/>
          <w:bCs/>
        </w:rPr>
        <w:t xml:space="preserve">undeveloped land value</w:t>
      </w:r>
      <w:r>
        <w:t xml:space="preserve">, rather than relying solely on cap‑rate compression.</w:t>
      </w:r>
    </w:p>
    <w:bookmarkEnd w:id="53"/>
    <w:bookmarkStart w:id="59" w:name="strategy-analysis"/>
    <w:p>
      <w:pPr>
        <w:pStyle w:val="Heading2"/>
      </w:pPr>
      <w:r>
        <w:t xml:space="preserve">4 Strategy Analysis</w:t>
      </w:r>
    </w:p>
    <w:bookmarkStart w:id="54" w:name="core-buyandhold"/>
    <w:p>
      <w:pPr>
        <w:pStyle w:val="Heading3"/>
      </w:pPr>
      <w:r>
        <w:t xml:space="preserve">4.1 Core Buy‑and‑Hold</w:t>
      </w:r>
    </w:p>
    <w:p>
      <w:pPr>
        <w:pStyle w:val="FirstParagraph"/>
      </w:pPr>
      <w:r>
        <w:rPr>
          <w:b/>
          <w:bCs/>
        </w:rPr>
        <w:t xml:space="preserve">Objective:</w:t>
      </w:r>
      <w:r>
        <w:t xml:space="preserve"> </w:t>
      </w:r>
      <w:r>
        <w:t xml:space="preserve">Acquire newer or well‑maintained single‑family homes or condos with stable tenants and minimal capital expenditure. Target entry cap rate of 5–6 % with modest rent growth (1–2 % p.a.). Lower leverage (≈ 60 % LTV) ensures strong debt coverage under 6 % interest rates.</w:t>
      </w:r>
    </w:p>
    <w:p>
      <w:pPr>
        <w:pStyle w:val="BodyText"/>
      </w:pPr>
      <w:r>
        <w:rPr>
          <w:b/>
          <w:bCs/>
        </w:rPr>
        <w:t xml:space="preserve">Market context:</w:t>
      </w:r>
      <w:r>
        <w:t xml:space="preserve"> </w:t>
      </w:r>
      <w:r>
        <w:t xml:space="preserve">Marlborough’s single‑family segment is supply‑constrained; high incomes and top schools support long‑term appreciation. Cap rates are lower than value‑add plays but benefit from tax efficiency and liquidity. Rent control risks are limited for single‑family homes because the proposed law exempts owner‑occupied buildings with four or fewer units</w:t>
      </w:r>
      <w:hyperlink r:id="rId33">
        <w:r>
          <w:rPr>
            <w:rStyle w:val="Hyperlink"/>
          </w:rPr>
          <w:t xml:space="preserve">[9]</w:t>
        </w:r>
      </w:hyperlink>
      <w:r>
        <w:t xml:space="preserve">.</w:t>
      </w:r>
    </w:p>
    <w:p>
      <w:pPr>
        <w:pStyle w:val="BodyText"/>
      </w:pPr>
      <w:r>
        <w:rPr>
          <w:b/>
          <w:bCs/>
        </w:rPr>
        <w:t xml:space="preserve">On‑market opportunities:</w:t>
      </w:r>
      <w:r>
        <w:t xml:space="preserve"> </w:t>
      </w:r>
      <w:r>
        <w:t xml:space="preserve">No active listings met the conservative buy‑and‑hold threshold during this analysis—most homes priced in the $600 k–$800 k range yielded entry cap rates below 5 % given realistic rents and expenses. Buyers seeking pure income should continue to monitor the MLS for mispriced estates or relocations and be prepared to move quickly.</w:t>
      </w:r>
    </w:p>
    <w:p>
      <w:pPr>
        <w:pStyle w:val="BodyText"/>
      </w:pPr>
      <w:r>
        <w:rPr>
          <w:b/>
          <w:bCs/>
        </w:rPr>
        <w:t xml:space="preserve">Optionality opportunities:</w:t>
      </w:r>
      <w:r>
        <w:t xml:space="preserve"> </w:t>
      </w:r>
      <w:r>
        <w:t xml:space="preserve">Larger parcels (1 + acre) like</w:t>
      </w:r>
      <w:r>
        <w:t xml:space="preserve"> </w:t>
      </w:r>
      <w:r>
        <w:rPr>
          <w:b/>
          <w:bCs/>
        </w:rPr>
        <w:t xml:space="preserve">14 Turner Ridge Rd</w:t>
      </w:r>
      <w:r>
        <w:t xml:space="preserve"> </w:t>
      </w:r>
      <w:r>
        <w:t xml:space="preserve">and</w:t>
      </w:r>
      <w:r>
        <w:t xml:space="preserve"> </w:t>
      </w:r>
      <w:r>
        <w:rPr>
          <w:b/>
          <w:bCs/>
        </w:rPr>
        <w:t xml:space="preserve">17 McNeil Cir</w:t>
      </w:r>
      <w:r>
        <w:t xml:space="preserve"> </w:t>
      </w:r>
      <w:r>
        <w:t xml:space="preserve">could be repositioned into two single‑family lots, providing a higher blended return than a vanilla rental. However, such plays shift the strategy into the development/redevelopment category (see Section 4.4).</w:t>
      </w:r>
    </w:p>
    <w:p>
      <w:pPr>
        <w:pStyle w:val="BodyText"/>
      </w:pPr>
      <w:r>
        <w:rPr>
          <w:b/>
          <w:bCs/>
        </w:rPr>
        <w:t xml:space="preserve">Off‑market pipeline:</w:t>
      </w:r>
      <w:r>
        <w:t xml:space="preserve"> </w:t>
      </w:r>
      <w:r>
        <w:t xml:space="preserve">Focus on long‑held single‑family homes owned by retirees or estates. Identify properties where the owner’s mailing address differs from the property address or where the last sale date predates 2000. Send personalised letters offering a fair, as‑is purchase with flexible closing. For duplex conversions, target lots ≥ 10 000 sq ft with older homes that exceed 1 800 sq ft</w:t>
      </w:r>
      <w:hyperlink r:id="rId30">
        <w:r>
          <w:rPr>
            <w:rStyle w:val="Hyperlink"/>
          </w:rPr>
          <w:t xml:space="preserve">[6]</w:t>
        </w:r>
      </w:hyperlink>
      <w:r>
        <w:t xml:space="preserve">.</w:t>
      </w:r>
    </w:p>
    <w:bookmarkEnd w:id="54"/>
    <w:bookmarkStart w:id="55" w:name="valueadd-renovation"/>
    <w:p>
      <w:pPr>
        <w:pStyle w:val="Heading3"/>
      </w:pPr>
      <w:r>
        <w:t xml:space="preserve">4.2 Value‑Add / Renovation</w:t>
      </w:r>
    </w:p>
    <w:p>
      <w:pPr>
        <w:pStyle w:val="FirstParagraph"/>
      </w:pPr>
      <w:r>
        <w:rPr>
          <w:b/>
          <w:bCs/>
        </w:rPr>
        <w:t xml:space="preserve">Objective:</w:t>
      </w:r>
      <w:r>
        <w:t xml:space="preserve"> </w:t>
      </w:r>
      <w:r>
        <w:t xml:space="preserve">Acquire aging single‑family or condo units at a discount, renovate kitchens/baths, perhaps carve out an in‑law suite, and raise rents to market levels. Entry cap rates of 4.5–5.5 % (Balanced profile) can expand to 7–8 % upon stabilisation. Renovation budgets range from $30–$80 k depending on scope; targeted yields rely on rent growth of 2–3 % and refinance at lower future rates.</w:t>
      </w:r>
    </w:p>
    <w:p>
      <w:pPr>
        <w:pStyle w:val="BodyText"/>
      </w:pPr>
      <w:r>
        <w:rPr>
          <w:b/>
          <w:bCs/>
        </w:rPr>
        <w:t xml:space="preserve">On‑market opportunities (Recommended &amp; Watchlist):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MLS #</w:t>
            </w:r>
          </w:p>
        </w:tc>
        <w:tc>
          <w:tcPr/>
          <w:p>
            <w:pPr>
              <w:pStyle w:val="Compact"/>
            </w:pPr>
            <w:r>
              <w:t xml:space="preserve">Address / Type</w:t>
            </w:r>
          </w:p>
        </w:tc>
        <w:tc>
          <w:tcPr/>
          <w:p>
            <w:pPr>
              <w:pStyle w:val="Compact"/>
            </w:pPr>
            <w:r>
              <w:t xml:space="preserve">Strategy profile</w:t>
            </w:r>
          </w:p>
        </w:tc>
        <w:tc>
          <w:tcPr/>
          <w:p>
            <w:pPr>
              <w:pStyle w:val="Compact"/>
            </w:pPr>
            <w:r>
              <w:t xml:space="preserve">Entry cap</w:t>
            </w:r>
          </w:p>
        </w:tc>
        <w:tc>
          <w:tcPr/>
          <w:p>
            <w:pPr>
              <w:pStyle w:val="Compact"/>
            </w:pPr>
            <w:r>
              <w:t xml:space="preserve">Stabilised cap</w:t>
            </w:r>
          </w:p>
        </w:tc>
        <w:tc>
          <w:tcPr/>
          <w:p>
            <w:pPr>
              <w:pStyle w:val="Compact"/>
            </w:pPr>
            <w:r>
              <w:t xml:space="preserve">Comments</w:t>
            </w:r>
          </w:p>
        </w:tc>
      </w:tr>
      <w:tr>
        <w:tc>
          <w:tcPr/>
          <w:p>
            <w:pPr>
              <w:pStyle w:val="Compact"/>
            </w:pPr>
            <w:r>
              <w:rPr>
                <w:b/>
                <w:bCs/>
              </w:rPr>
              <w:t xml:space="preserve">73455427</w:t>
            </w:r>
          </w:p>
        </w:tc>
        <w:tc>
          <w:tcPr/>
          <w:p>
            <w:pPr>
              <w:pStyle w:val="Compact"/>
            </w:pPr>
            <w:r>
              <w:rPr>
                <w:i/>
                <w:iCs/>
              </w:rPr>
              <w:t xml:space="preserve">35 High St</w:t>
            </w:r>
            <w:r>
              <w:t xml:space="preserve"> </w:t>
            </w:r>
            <w:r>
              <w:t xml:space="preserve">(1‑bed condo)</w:t>
            </w:r>
          </w:p>
        </w:tc>
        <w:tc>
          <w:tcPr/>
          <w:p>
            <w:pPr>
              <w:pStyle w:val="Compact"/>
            </w:pPr>
            <w:r>
              <w:rPr>
                <w:b/>
                <w:bCs/>
              </w:rPr>
              <w:t xml:space="preserve">Recommended (Balanced)</w:t>
            </w:r>
          </w:p>
        </w:tc>
        <w:tc>
          <w:tcPr/>
          <w:p>
            <w:pPr>
              <w:pStyle w:val="Compact"/>
            </w:pPr>
            <w:r>
              <w:t xml:space="preserve">≈ 6.5 %</w:t>
            </w:r>
          </w:p>
        </w:tc>
        <w:tc>
          <w:tcPr/>
          <w:p>
            <w:pPr>
              <w:pStyle w:val="Compact"/>
            </w:pPr>
            <w:r>
              <w:t xml:space="preserve">9.6 %</w:t>
            </w:r>
          </w:p>
        </w:tc>
        <w:tc>
          <w:tcPr/>
          <w:p>
            <w:pPr>
              <w:pStyle w:val="Compact"/>
            </w:pPr>
            <w:r>
              <w:t xml:space="preserve">Low purchase price and solid rents. Cosmetics only; HOA fees modest.</w:t>
            </w:r>
          </w:p>
        </w:tc>
      </w:tr>
      <w:tr>
        <w:tc>
          <w:tcPr/>
          <w:p>
            <w:pPr>
              <w:pStyle w:val="Compact"/>
            </w:pPr>
            <w:r>
              <w:rPr>
                <w:b/>
                <w:bCs/>
              </w:rPr>
              <w:t xml:space="preserve">73454954</w:t>
            </w:r>
          </w:p>
        </w:tc>
        <w:tc>
          <w:tcPr/>
          <w:p>
            <w:pPr>
              <w:pStyle w:val="Compact"/>
            </w:pPr>
            <w:r>
              <w:rPr>
                <w:i/>
                <w:iCs/>
              </w:rPr>
              <w:t xml:space="preserve">102 Liberty St</w:t>
            </w:r>
            <w:r>
              <w:t xml:space="preserve"> </w:t>
            </w:r>
            <w:r>
              <w:t xml:space="preserve">(3‑bed SF)</w:t>
            </w:r>
          </w:p>
        </w:tc>
        <w:tc>
          <w:tcPr/>
          <w:p>
            <w:pPr>
              <w:pStyle w:val="Compact"/>
            </w:pPr>
            <w:r>
              <w:rPr>
                <w:b/>
                <w:bCs/>
              </w:rPr>
              <w:t xml:space="preserve">Watchlist (Growth)</w:t>
            </w:r>
          </w:p>
        </w:tc>
        <w:tc>
          <w:tcPr/>
          <w:p>
            <w:pPr>
              <w:pStyle w:val="Compact"/>
            </w:pPr>
            <w:r>
              <w:t xml:space="preserve">≈ 4.9 %</w:t>
            </w:r>
          </w:p>
        </w:tc>
        <w:tc>
          <w:tcPr/>
          <w:p>
            <w:pPr>
              <w:pStyle w:val="Compact"/>
            </w:pPr>
            <w:r>
              <w:t xml:space="preserve">6–8 %</w:t>
            </w:r>
          </w:p>
        </w:tc>
        <w:tc>
          <w:tcPr/>
          <w:p>
            <w:pPr>
              <w:pStyle w:val="Compact"/>
            </w:pPr>
            <w:r>
              <w:t xml:space="preserve">Long DOM; basement offers potential in‑law suite. Requires significant rehab and zoning confirmation.</w:t>
            </w:r>
          </w:p>
        </w:tc>
      </w:tr>
      <w:tr>
        <w:tc>
          <w:tcPr/>
          <w:p>
            <w:pPr>
              <w:pStyle w:val="Compact"/>
            </w:pPr>
            <w:r>
              <w:rPr>
                <w:b/>
                <w:bCs/>
              </w:rPr>
              <w:t xml:space="preserve">73440035</w:t>
            </w:r>
          </w:p>
        </w:tc>
        <w:tc>
          <w:tcPr/>
          <w:p>
            <w:pPr>
              <w:pStyle w:val="Compact"/>
            </w:pPr>
            <w:r>
              <w:rPr>
                <w:i/>
                <w:iCs/>
              </w:rPr>
              <w:t xml:space="preserve">688 Boston Post Rd E</w:t>
            </w:r>
            <w:r>
              <w:t xml:space="preserve"> </w:t>
            </w:r>
            <w:r>
              <w:t xml:space="preserve">(2‑bed condo)</w:t>
            </w:r>
          </w:p>
        </w:tc>
        <w:tc>
          <w:tcPr/>
          <w:p>
            <w:pPr>
              <w:pStyle w:val="Compact"/>
            </w:pPr>
            <w:r>
              <w:rPr>
                <w:b/>
                <w:bCs/>
              </w:rPr>
              <w:t xml:space="preserve">Watchlist (Growth)</w:t>
            </w:r>
          </w:p>
        </w:tc>
        <w:tc>
          <w:tcPr/>
          <w:p>
            <w:pPr>
              <w:pStyle w:val="Compact"/>
            </w:pPr>
            <w:r>
              <w:t xml:space="preserve">≈ 4 %</w:t>
            </w:r>
          </w:p>
        </w:tc>
        <w:tc>
          <w:tcPr/>
          <w:p>
            <w:pPr>
              <w:pStyle w:val="Compact"/>
            </w:pPr>
            <w:r>
              <w:t xml:space="preserve">6 %</w:t>
            </w:r>
          </w:p>
        </w:tc>
        <w:tc>
          <w:tcPr/>
          <w:p>
            <w:pPr>
              <w:pStyle w:val="Compact"/>
            </w:pPr>
            <w:r>
              <w:t xml:space="preserve">Lower price, but unknown HOA fees could erode returns.</w:t>
            </w:r>
          </w:p>
        </w:tc>
      </w:tr>
      <w:tr>
        <w:tc>
          <w:tcPr/>
          <w:p>
            <w:pPr>
              <w:pStyle w:val="Compact"/>
            </w:pPr>
            <w:r>
              <w:rPr>
                <w:b/>
                <w:bCs/>
              </w:rPr>
              <w:t xml:space="preserve">73398938</w:t>
            </w:r>
          </w:p>
        </w:tc>
        <w:tc>
          <w:tcPr/>
          <w:p>
            <w:pPr>
              <w:pStyle w:val="Compact"/>
            </w:pPr>
            <w:r>
              <w:rPr>
                <w:i/>
                <w:iCs/>
              </w:rPr>
              <w:t xml:space="preserve">30 Broad St</w:t>
            </w:r>
            <w:r>
              <w:t xml:space="preserve"> </w:t>
            </w:r>
            <w:r>
              <w:t xml:space="preserve">(2‑bed condo)</w:t>
            </w:r>
          </w:p>
        </w:tc>
        <w:tc>
          <w:tcPr/>
          <w:p>
            <w:pPr>
              <w:pStyle w:val="Compact"/>
            </w:pPr>
            <w:r>
              <w:rPr>
                <w:b/>
                <w:bCs/>
              </w:rPr>
              <w:t xml:space="preserve">Watchlist (Growth)</w:t>
            </w:r>
          </w:p>
        </w:tc>
        <w:tc>
          <w:tcPr/>
          <w:p>
            <w:pPr>
              <w:pStyle w:val="Compact"/>
            </w:pPr>
            <w:r>
              <w:t xml:space="preserve">≈ 4 %</w:t>
            </w:r>
          </w:p>
        </w:tc>
        <w:tc>
          <w:tcPr/>
          <w:p>
            <w:pPr>
              <w:pStyle w:val="Compact"/>
            </w:pPr>
            <w:r>
              <w:t xml:space="preserve">6 %</w:t>
            </w:r>
          </w:p>
        </w:tc>
        <w:tc>
          <w:tcPr/>
          <w:p>
            <w:pPr>
              <w:pStyle w:val="Compact"/>
            </w:pPr>
            <w:r>
              <w:t xml:space="preserve">Historic building; likely expensive updates; rents must rise significantly to justify.</w:t>
            </w:r>
          </w:p>
        </w:tc>
      </w:tr>
    </w:tbl>
    <w:p>
      <w:pPr>
        <w:pStyle w:val="BodyText"/>
      </w:pPr>
      <w:r>
        <w:rPr>
          <w:b/>
          <w:bCs/>
        </w:rPr>
        <w:t xml:space="preserve">Optionality opportunities:</w:t>
      </w:r>
      <w:r>
        <w:t xml:space="preserve"> </w:t>
      </w:r>
      <w:r>
        <w:t xml:space="preserve">Several properties flagged for ADU or in‑law conversion could yield outsized returns.</w:t>
      </w:r>
      <w:r>
        <w:t xml:space="preserve"> </w:t>
      </w:r>
      <w:r>
        <w:rPr>
          <w:b/>
          <w:bCs/>
        </w:rPr>
        <w:t xml:space="preserve">27 Fitchburg St</w:t>
      </w:r>
      <w:r>
        <w:t xml:space="preserve"> </w:t>
      </w:r>
      <w:r>
        <w:t xml:space="preserve">(0.57 acres) has an unfinished basement suitable for a legal accessory unit;</w:t>
      </w:r>
      <w:r>
        <w:t xml:space="preserve"> </w:t>
      </w:r>
      <w:r>
        <w:rPr>
          <w:b/>
          <w:bCs/>
        </w:rPr>
        <w:t xml:space="preserve">502 Hosmer St</w:t>
      </w:r>
      <w:r>
        <w:t xml:space="preserve"> </w:t>
      </w:r>
      <w:r>
        <w:t xml:space="preserve">(0.51 acres) could be converted into a duplex under Marlborough’s two‑family provisions</w:t>
      </w:r>
      <w:hyperlink r:id="rId30">
        <w:r>
          <w:rPr>
            <w:rStyle w:val="Hyperlink"/>
          </w:rPr>
          <w:t xml:space="preserve">[6]</w:t>
        </w:r>
      </w:hyperlink>
      <w:r>
        <w:t xml:space="preserve">. Each requires verifying egress, parking and building code compliance.</w:t>
      </w:r>
    </w:p>
    <w:p>
      <w:pPr>
        <w:pStyle w:val="BodyText"/>
      </w:pPr>
      <w:r>
        <w:rPr>
          <w:b/>
          <w:bCs/>
        </w:rPr>
        <w:t xml:space="preserve">Off‑market pipeline:</w:t>
      </w:r>
      <w:r>
        <w:t xml:space="preserve"> </w:t>
      </w:r>
      <w:r>
        <w:t xml:space="preserve">Target dated homes with no permit activity since the 1990s, properties with code violations or tax delinquencies, and estates undergoing probate. Use public records to identify ownership tenure and send postcards offering to purchase “as‑is.” Attend municipal code‑violation hearings to connect directly with motivated sellers.</w:t>
      </w:r>
    </w:p>
    <w:bookmarkEnd w:id="55"/>
    <w:bookmarkStart w:id="56" w:name="small-multifamily-income"/>
    <w:p>
      <w:pPr>
        <w:pStyle w:val="Heading3"/>
      </w:pPr>
      <w:r>
        <w:t xml:space="preserve">4.3 Small Multi‑Family Income</w:t>
      </w:r>
    </w:p>
    <w:p>
      <w:pPr>
        <w:pStyle w:val="FirstParagraph"/>
      </w:pPr>
      <w:r>
        <w:rPr>
          <w:b/>
          <w:bCs/>
        </w:rPr>
        <w:t xml:space="preserve">Objective:</w:t>
      </w:r>
      <w:r>
        <w:t xml:space="preserve"> </w:t>
      </w:r>
      <w:r>
        <w:t xml:space="preserve">Acquire 2‑ to 4‑unit buildings to generate stable cash flow with moderate appreciation. Entry cap rates of 5.5–7 % are typical. Moderate leverage (65–70 % LTV) can boost cash‑on‑cash returns, but investors must budget for 40 % operating expense ratios and higher capital reserves.</w:t>
      </w:r>
    </w:p>
    <w:p>
      <w:pPr>
        <w:pStyle w:val="BodyText"/>
      </w:pPr>
      <w:r>
        <w:rPr>
          <w:b/>
          <w:bCs/>
        </w:rPr>
        <w:t xml:space="preserve">On‑market opportunities:</w:t>
      </w:r>
      <w:r>
        <w:t xml:space="preserve"> </w:t>
      </w:r>
      <w:r>
        <w:t xml:space="preserve">Only one active listing met the criteria.</w:t>
      </w:r>
      <w:r>
        <w:t xml:space="preserve"> </w:t>
      </w:r>
      <w:r>
        <w:rPr>
          <w:b/>
          <w:bCs/>
        </w:rPr>
        <w:t xml:space="preserve">91 Maplewood Ave</w:t>
      </w:r>
      <w:r>
        <w:t xml:space="preserve"> </w:t>
      </w:r>
      <w:r>
        <w:t xml:space="preserve">(MLS 73447367) is a legal two‑family on a half‑acre lot. Delivered vacant, it offers value‑add potential: renovating the lower level could create a third unit (subject to zoning), raising the cap rate from ~5.5 % to 7 %. However, permit feasibility and renovation costs must be confirmed.</w:t>
      </w:r>
    </w:p>
    <w:p>
      <w:pPr>
        <w:pStyle w:val="BodyText"/>
      </w:pPr>
      <w:r>
        <w:rPr>
          <w:b/>
          <w:bCs/>
        </w:rPr>
        <w:t xml:space="preserve">Optionality opportunities:</w:t>
      </w:r>
      <w:r>
        <w:t xml:space="preserve"> </w:t>
      </w:r>
      <w:r>
        <w:t xml:space="preserve">Off‑market multi‑families may offer greater upside. Older duplexes and triplexes owned by absentee landlords often have under‑market rents. Properties like</w:t>
      </w:r>
      <w:r>
        <w:t xml:space="preserve"> </w:t>
      </w:r>
      <w:r>
        <w:rPr>
          <w:b/>
          <w:bCs/>
        </w:rPr>
        <w:t xml:space="preserve">72‑74 Chestnut St</w:t>
      </w:r>
      <w:r>
        <w:t xml:space="preserve"> </w:t>
      </w:r>
      <w:r>
        <w:t xml:space="preserve">(12 bedrooms, multiple townhouses) were flagged for deferred maintenance; repositioning could yield cap rates above 8 %.</w:t>
      </w:r>
    </w:p>
    <w:p>
      <w:pPr>
        <w:pStyle w:val="BodyText"/>
      </w:pPr>
      <w:r>
        <w:rPr>
          <w:b/>
          <w:bCs/>
        </w:rPr>
        <w:t xml:space="preserve">Off‑market pipeline:</w:t>
      </w:r>
      <w:r>
        <w:t xml:space="preserve"> </w:t>
      </w:r>
      <w:r>
        <w:t xml:space="preserve">Filter assessor records for R2/R3 classifications and identify owners with mailing addresses outside Marlborough. Cross‑reference with properties that have not changed hands in 20+ years. Send professional letters highlighting your track record of property management and willingness to close quietly without broker commissions.</w:t>
      </w:r>
    </w:p>
    <w:bookmarkEnd w:id="56"/>
    <w:bookmarkStart w:id="57" w:name="development-redevelopment"/>
    <w:p>
      <w:pPr>
        <w:pStyle w:val="Heading3"/>
      </w:pPr>
      <w:r>
        <w:t xml:space="preserve">4.4 Development / Redevelopment</w:t>
      </w:r>
    </w:p>
    <w:p>
      <w:pPr>
        <w:pStyle w:val="FirstParagraph"/>
      </w:pPr>
      <w:r>
        <w:rPr>
          <w:b/>
          <w:bCs/>
        </w:rPr>
        <w:t xml:space="preserve">Objective:</w:t>
      </w:r>
      <w:r>
        <w:t xml:space="preserve"> </w:t>
      </w:r>
      <w:r>
        <w:t xml:space="preserve">Acquire large parcels or under‑improved properties and unlock value through subdivision, new construction or mixed‑use redevelopment. Target exit cap rates of 7–8 % on stabilized product and internal rates of return (IRR) above 15 %. Execution risk is high due to permitting, construction costs and market timing.</w:t>
      </w:r>
    </w:p>
    <w:p>
      <w:pPr>
        <w:pStyle w:val="BodyText"/>
      </w:pPr>
      <w:r>
        <w:rPr>
          <w:b/>
          <w:bCs/>
        </w:rPr>
        <w:t xml:space="preserve">On‑market opportunities:</w:t>
      </w:r>
      <w:r>
        <w:t xml:space="preserve"> </w:t>
      </w:r>
      <w:r>
        <w:t xml:space="preserve">No MLS listings met return hurdles; however, optionality analysis highlighted several candidates:</w:t>
      </w:r>
    </w:p>
    <w:p>
      <w:pPr>
        <w:pStyle w:val="Compact"/>
        <w:numPr>
          <w:ilvl w:val="0"/>
          <w:numId w:val="1001"/>
        </w:numPr>
      </w:pPr>
      <w:r>
        <w:rPr>
          <w:b/>
          <w:bCs/>
        </w:rPr>
        <w:t xml:space="preserve">14 Turner Ridge Rd (MLS 73470556)</w:t>
      </w:r>
      <w:r>
        <w:t xml:space="preserve"> </w:t>
      </w:r>
      <w:r>
        <w:t xml:space="preserve">– 1.11 acre parcel with a single‑family home. Subdivide the rear lot (subject to frontage and minimum lot size) or add a detached ADU under the new ADU law</w:t>
      </w:r>
      <w:hyperlink r:id="rId22">
        <w:r>
          <w:rPr>
            <w:rStyle w:val="Hyperlink"/>
          </w:rPr>
          <w:t xml:space="preserve">[2]</w:t>
        </w:r>
      </w:hyperlink>
      <w:r>
        <w:t xml:space="preserve">. Require survey and zoning board consultation.</w:t>
      </w:r>
    </w:p>
    <w:p>
      <w:pPr>
        <w:pStyle w:val="Compact"/>
        <w:numPr>
          <w:ilvl w:val="0"/>
          <w:numId w:val="1001"/>
        </w:numPr>
      </w:pPr>
      <w:r>
        <w:rPr>
          <w:b/>
          <w:bCs/>
        </w:rPr>
        <w:t xml:space="preserve">17 McNeil Cir (MLS 73433301)</w:t>
      </w:r>
      <w:r>
        <w:t xml:space="preserve"> </w:t>
      </w:r>
      <w:r>
        <w:t xml:space="preserve">– 1.5‑acre wooded parcel in East Marlborough. Potential to carve off a buildable lot. Wetlands delineation and Title V septic approval are prerequisites.</w:t>
      </w:r>
    </w:p>
    <w:p>
      <w:pPr>
        <w:pStyle w:val="Compact"/>
        <w:numPr>
          <w:ilvl w:val="0"/>
          <w:numId w:val="1001"/>
        </w:numPr>
      </w:pPr>
      <w:r>
        <w:rPr>
          <w:b/>
          <w:bCs/>
        </w:rPr>
        <w:t xml:space="preserve">146 Framingham Rd (MLS 73457811)</w:t>
      </w:r>
      <w:r>
        <w:t xml:space="preserve"> </w:t>
      </w:r>
      <w:r>
        <w:t xml:space="preserve">– 1.2‑acre site with a large 4‑bed home. Explore subdivision or cluster development; pro forma must account for high construction costs and market absorption risk.</w:t>
      </w:r>
    </w:p>
    <w:p>
      <w:pPr>
        <w:pStyle w:val="FirstParagraph"/>
      </w:pPr>
      <w:r>
        <w:rPr>
          <w:b/>
          <w:bCs/>
        </w:rPr>
        <w:t xml:space="preserve">Off‑market pipeline:</w:t>
      </w:r>
      <w:r>
        <w:t xml:space="preserve"> </w:t>
      </w:r>
      <w:r>
        <w:t xml:space="preserve">Use GIS data to locate parcels where land value significantly exceeds improvement value. Filter for lots ≥ 20 000 sq ft in residential districts. Engage local civil engineers to quickly assess frontage and utilities. Outreach should position you as a partner who can navigate approvals and share upside.</w:t>
      </w:r>
    </w:p>
    <w:bookmarkEnd w:id="57"/>
    <w:bookmarkStart w:id="58" w:name="creative-adu-unconventional"/>
    <w:p>
      <w:pPr>
        <w:pStyle w:val="Heading3"/>
      </w:pPr>
      <w:r>
        <w:t xml:space="preserve">4.5 Creative / ADU / Unconventional</w:t>
      </w:r>
    </w:p>
    <w:p>
      <w:pPr>
        <w:pStyle w:val="FirstParagraph"/>
      </w:pPr>
      <w:r>
        <w:rPr>
          <w:b/>
          <w:bCs/>
        </w:rPr>
        <w:t xml:space="preserve">Objective:</w:t>
      </w:r>
      <w:r>
        <w:t xml:space="preserve"> </w:t>
      </w:r>
      <w:r>
        <w:t xml:space="preserve">Leverage new ADU legislation to create accessory units, co‑living spaces or short‑term rentals, thereby increasing income without significant land acquisition. Entry cap rates may be lower (4–5 %), but the addition of an ADU can push the stabilized cap rate above 8 %.</w:t>
      </w:r>
    </w:p>
    <w:p>
      <w:pPr>
        <w:pStyle w:val="BodyText"/>
      </w:pPr>
      <w:r>
        <w:rPr>
          <w:b/>
          <w:bCs/>
        </w:rPr>
        <w:t xml:space="preserve">On‑market opportunities:</w:t>
      </w:r>
      <w:r>
        <w:t xml:space="preserve"> </w:t>
      </w:r>
      <w:r>
        <w:rPr>
          <w:b/>
          <w:bCs/>
        </w:rPr>
        <w:t xml:space="preserve">111 Howe St (MLS 73459150)</w:t>
      </w:r>
      <w:r>
        <w:t xml:space="preserve"> </w:t>
      </w:r>
      <w:r>
        <w:t xml:space="preserve">is a 4‑bed single‑family with a potential ADU space. Entry cap rate under conservative assumptions is ~4.9 % but can reach 6–7 % after creating a 1‑bed accessory unit. However, ADU permitting and renovation costs must be verified.</w:t>
      </w:r>
    </w:p>
    <w:p>
      <w:pPr>
        <w:pStyle w:val="BodyText"/>
      </w:pPr>
      <w:r>
        <w:rPr>
          <w:b/>
          <w:bCs/>
        </w:rPr>
        <w:t xml:space="preserve">Optionality opportunities:</w:t>
      </w:r>
      <w:r>
        <w:t xml:space="preserve"> </w:t>
      </w:r>
      <w:r>
        <w:rPr>
          <w:b/>
          <w:bCs/>
        </w:rPr>
        <w:t xml:space="preserve">207 Bigelow St</w:t>
      </w:r>
      <w:r>
        <w:t xml:space="preserve"> </w:t>
      </w:r>
      <w:r>
        <w:t xml:space="preserve">(0.93 acre) has a finished walk‑out lower level ideal for a legal accessory apartment;</w:t>
      </w:r>
      <w:r>
        <w:t xml:space="preserve"> </w:t>
      </w:r>
      <w:r>
        <w:rPr>
          <w:b/>
          <w:bCs/>
        </w:rPr>
        <w:t xml:space="preserve">27 Fitchburg St</w:t>
      </w:r>
      <w:r>
        <w:t xml:space="preserve"> </w:t>
      </w:r>
      <w:r>
        <w:t xml:space="preserve">offers basement conversion potential;</w:t>
      </w:r>
      <w:r>
        <w:t xml:space="preserve"> </w:t>
      </w:r>
      <w:r>
        <w:rPr>
          <w:b/>
          <w:bCs/>
        </w:rPr>
        <w:t xml:space="preserve">502 Hosmer St</w:t>
      </w:r>
      <w:r>
        <w:t xml:space="preserve"> </w:t>
      </w:r>
      <w:r>
        <w:t xml:space="preserve">could support an attached ADU; and</w:t>
      </w:r>
      <w:r>
        <w:t xml:space="preserve"> </w:t>
      </w:r>
      <w:r>
        <w:rPr>
          <w:b/>
          <w:bCs/>
        </w:rPr>
        <w:t xml:space="preserve">35 Roundtop</w:t>
      </w:r>
      <w:r>
        <w:t xml:space="preserve"> </w:t>
      </w:r>
      <w:r>
        <w:t xml:space="preserve">already contains an in‑law suite. Each opportunity hinges on confirming compliance with ADU size limits, separate entrances, and parking allowances</w:t>
      </w:r>
      <w:hyperlink r:id="rId22">
        <w:r>
          <w:rPr>
            <w:rStyle w:val="Hyperlink"/>
          </w:rPr>
          <w:t xml:space="preserve">[2]</w:t>
        </w:r>
      </w:hyperlink>
      <w:r>
        <w:t xml:space="preserve">.</w:t>
      </w:r>
    </w:p>
    <w:p>
      <w:pPr>
        <w:pStyle w:val="BodyText"/>
      </w:pPr>
      <w:r>
        <w:rPr>
          <w:b/>
          <w:bCs/>
        </w:rPr>
        <w:t xml:space="preserve">Off‑market pipeline:</w:t>
      </w:r>
      <w:r>
        <w:t xml:space="preserve"> </w:t>
      </w:r>
      <w:r>
        <w:t xml:space="preserve">Map homes within 0.5 mile of transit (to take advantage of relaxed parking requirements) and with improvement‑to‑land ratios below 0.25. Identify owners with no recent mortgage activity (indicating equity) who might finance an ADU. Host informational seminars about ADU benefits and partner with a design‑build firm to streamline approvals.</w:t>
      </w:r>
    </w:p>
    <w:bookmarkEnd w:id="58"/>
    <w:bookmarkEnd w:id="59"/>
    <w:bookmarkStart w:id="60" w:name="riskadjusted-strategy-ranking"/>
    <w:p>
      <w:pPr>
        <w:pStyle w:val="Heading2"/>
      </w:pPr>
      <w:r>
        <w:t xml:space="preserve">5 Risk‑Adjusted Strategy Ranking</w:t>
      </w:r>
    </w:p>
    <w:p>
      <w:pPr>
        <w:pStyle w:val="Compact"/>
        <w:numPr>
          <w:ilvl w:val="0"/>
          <w:numId w:val="1002"/>
        </w:numPr>
      </w:pPr>
      <w:r>
        <w:rPr>
          <w:b/>
          <w:bCs/>
        </w:rPr>
        <w:t xml:space="preserve">Value‑Add / Renovation</w:t>
      </w:r>
      <w:r>
        <w:t xml:space="preserve"> </w:t>
      </w:r>
      <w:r>
        <w:t xml:space="preserve">– Offers the best blend of current income and forced appreciation. Moderate entry cap rates (~5 %) can expand to 7–8 % through renovations and rent increases. Regulatory risk is low; demand for updated housing remains strong. Recommended deal:</w:t>
      </w:r>
      <w:r>
        <w:t xml:space="preserve"> </w:t>
      </w:r>
      <w:r>
        <w:rPr>
          <w:b/>
          <w:bCs/>
        </w:rPr>
        <w:t xml:space="preserve">35 High St</w:t>
      </w:r>
      <w:r>
        <w:t xml:space="preserve">.</w:t>
      </w:r>
    </w:p>
    <w:p>
      <w:pPr>
        <w:pStyle w:val="Compact"/>
        <w:numPr>
          <w:ilvl w:val="0"/>
          <w:numId w:val="1002"/>
        </w:numPr>
      </w:pPr>
      <w:r>
        <w:rPr>
          <w:b/>
          <w:bCs/>
        </w:rPr>
        <w:t xml:space="preserve">Creative / ADU</w:t>
      </w:r>
      <w:r>
        <w:t xml:space="preserve"> </w:t>
      </w:r>
      <w:r>
        <w:t xml:space="preserve">– ADUs unlock additional units on existing lots, benefiting from new state law</w:t>
      </w:r>
      <w:hyperlink r:id="rId22">
        <w:r>
          <w:rPr>
            <w:rStyle w:val="Hyperlink"/>
          </w:rPr>
          <w:t xml:space="preserve">[2]</w:t>
        </w:r>
      </w:hyperlink>
      <w:r>
        <w:t xml:space="preserve">. Returns are attractive (potential cap rates &gt; 8 %) but require careful zoning and construction management. High‑confidence optionality:</w:t>
      </w:r>
      <w:r>
        <w:t xml:space="preserve"> </w:t>
      </w:r>
      <w:r>
        <w:rPr>
          <w:b/>
          <w:bCs/>
        </w:rPr>
        <w:t xml:space="preserve">207 Bigelow St</w:t>
      </w:r>
      <w:r>
        <w:t xml:space="preserve">.</w:t>
      </w:r>
    </w:p>
    <w:p>
      <w:pPr>
        <w:pStyle w:val="Compact"/>
        <w:numPr>
          <w:ilvl w:val="0"/>
          <w:numId w:val="1002"/>
        </w:numPr>
      </w:pPr>
      <w:r>
        <w:rPr>
          <w:b/>
          <w:bCs/>
        </w:rPr>
        <w:t xml:space="preserve">Small Multi‑Family Income</w:t>
      </w:r>
      <w:r>
        <w:t xml:space="preserve"> </w:t>
      </w:r>
      <w:r>
        <w:t xml:space="preserve">– Provides diversification and economies of scale. Cap rates are higher than single‑family (~6 %), but inventory is scarce and underwriting depends on accurate rent rolls.</w:t>
      </w:r>
      <w:r>
        <w:t xml:space="preserve"> </w:t>
      </w:r>
      <w:r>
        <w:rPr>
          <w:b/>
          <w:bCs/>
        </w:rPr>
        <w:t xml:space="preserve">91 Maplewood Ave</w:t>
      </w:r>
      <w:r>
        <w:t xml:space="preserve"> </w:t>
      </w:r>
      <w:r>
        <w:t xml:space="preserve">is promising yet needs zoning review.</w:t>
      </w:r>
    </w:p>
    <w:p>
      <w:pPr>
        <w:pStyle w:val="Compact"/>
        <w:numPr>
          <w:ilvl w:val="0"/>
          <w:numId w:val="1002"/>
        </w:numPr>
      </w:pPr>
      <w:r>
        <w:rPr>
          <w:b/>
          <w:bCs/>
        </w:rPr>
        <w:t xml:space="preserve">Development / Redevelopment</w:t>
      </w:r>
      <w:r>
        <w:t xml:space="preserve"> </w:t>
      </w:r>
      <w:r>
        <w:t xml:space="preserve">– Yields can be significant, especially given Marlborough’s low commercial tax rate, but execution risk (approvals, construction cost, market timing) is elevated. Suitable for experienced developers with a longer time horizon.</w:t>
      </w:r>
    </w:p>
    <w:p>
      <w:pPr>
        <w:pStyle w:val="Compact"/>
        <w:numPr>
          <w:ilvl w:val="0"/>
          <w:numId w:val="1002"/>
        </w:numPr>
      </w:pPr>
      <w:r>
        <w:rPr>
          <w:b/>
          <w:bCs/>
        </w:rPr>
        <w:t xml:space="preserve">Core Buy‑and‑Hold</w:t>
      </w:r>
      <w:r>
        <w:t xml:space="preserve"> </w:t>
      </w:r>
      <w:r>
        <w:t xml:space="preserve">– Safest strategy with low cap rates (~5 %) and steady appreciation. Opportunities are limited under current pricing; returns rely on rent growth and cap‑rate compression, which may not materialise in a higher‑rate environment.</w:t>
      </w:r>
    </w:p>
    <w:bookmarkEnd w:id="60"/>
    <w:bookmarkStart w:id="61" w:name="conclusion-next-steps"/>
    <w:p>
      <w:pPr>
        <w:pStyle w:val="Heading2"/>
      </w:pPr>
      <w:r>
        <w:t xml:space="preserve">Conclusion &amp; Next Steps</w:t>
      </w:r>
    </w:p>
    <w:p>
      <w:pPr>
        <w:pStyle w:val="FirstParagraph"/>
      </w:pPr>
      <w:r>
        <w:t xml:space="preserve">Marlborough remains an attractive suburban market with strong economic drivers and limited supply. Investors should prioritise value‑add and ADU strategies that generate forced appreciation rather than relying on further cap‑rate compression. The recommended immediate action is to pursue the</w:t>
      </w:r>
      <w:r>
        <w:t xml:space="preserve"> </w:t>
      </w:r>
      <w:r>
        <w:rPr>
          <w:b/>
          <w:bCs/>
        </w:rPr>
        <w:t xml:space="preserve">35 High St</w:t>
      </w:r>
      <w:r>
        <w:t xml:space="preserve"> </w:t>
      </w:r>
      <w:r>
        <w:t xml:space="preserve">condominium and initiate due diligence on</w:t>
      </w:r>
      <w:r>
        <w:t xml:space="preserve"> </w:t>
      </w:r>
      <w:r>
        <w:rPr>
          <w:b/>
          <w:bCs/>
        </w:rPr>
        <w:t xml:space="preserve">207 Bigelow St</w:t>
      </w:r>
      <w:r>
        <w:t xml:space="preserve">’s ADU feasibility. Parallel efforts should build the off‑market pipeline, focusing on long‑held homes and large parcels identified through public records. A conservative underwriting approach—assuming 6 % interest rates, 30–40 % expense ratios and moderate rent growth—will position investors to capitalize on Marlborough’s long‑term fundamentals while mitigating downside risk.</w:t>
      </w:r>
    </w:p>
    <w:bookmarkEnd w:id="61"/>
    <w:bookmarkEnd w:id="62"/>
    <w:bookmarkEnd w:id="6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r>
        <w:t xml:space="preserve">Fast Facts &amp; Data - Marlborough Economic Development Corporation</w:t>
      </w:r>
    </w:p>
    <w:p>
      <w:pPr>
        <w:pStyle w:val="BodyText"/>
      </w:pPr>
      <w:hyperlink r:id="rId64">
        <w:r>
          <w:rPr>
            <w:rStyle w:val="Hyperlink"/>
          </w:rPr>
          <w:t xml:space="preserve">https://marlboroughedc.com/fast-facts-data/</w:t>
        </w:r>
      </w:hyperlink>
    </w:p>
    <w:p>
      <w:pPr>
        <w:pStyle w:val="BodyText"/>
      </w:pPr>
      <w:hyperlink r:id="rId22">
        <w:r>
          <w:rPr>
            <w:rStyle w:val="Hyperlink"/>
          </w:rPr>
          <w:t xml:space="preserve">[2]</w:t>
        </w:r>
      </w:hyperlink>
      <w:r>
        <w:t xml:space="preserve"> </w:t>
      </w:r>
      <w:r>
        <w:t xml:space="preserve">Accessory Dwelling Units | Mass.gov</w:t>
      </w:r>
    </w:p>
    <w:p>
      <w:pPr>
        <w:pStyle w:val="BodyText"/>
      </w:pPr>
      <w:hyperlink r:id="rId65">
        <w:r>
          <w:rPr>
            <w:rStyle w:val="Hyperlink"/>
          </w:rPr>
          <w:t xml:space="preserve">https://www.mass.gov/info-details/accessory-dwelling-units</w:t>
        </w:r>
      </w:hyperlink>
    </w:p>
    <w:p>
      <w:pPr>
        <w:pStyle w:val="BodyText"/>
      </w:pPr>
      <w:hyperlink r:id="rId23">
        <w:r>
          <w:rPr>
            <w:rStyle w:val="Hyperlink"/>
          </w:rPr>
          <w:t xml:space="preserve">[3]</w:t>
        </w:r>
      </w:hyperlink>
      <w:r>
        <w:t xml:space="preserve"> </w:t>
      </w:r>
      <w:r>
        <w:t xml:space="preserve">Present &amp; Past Tax Rates | Marlborough, MA</w:t>
      </w:r>
      <w:r>
        <w:t xml:space="preserve"> </w:t>
      </w:r>
    </w:p>
    <w:p>
      <w:pPr>
        <w:pStyle w:val="BodyText"/>
      </w:pPr>
      <w:hyperlink r:id="rId66">
        <w:r>
          <w:rPr>
            <w:rStyle w:val="Hyperlink"/>
          </w:rPr>
          <w:t xml:space="preserve">https://www.marlborough-ma.gov/369/Present-Past-Tax-Rates</w:t>
        </w:r>
      </w:hyperlink>
    </w:p>
    <w:p>
      <w:pPr>
        <w:pStyle w:val="BodyText"/>
      </w:pPr>
      <w:hyperlink r:id="rId25">
        <w:r>
          <w:rPr>
            <w:rStyle w:val="Hyperlink"/>
          </w:rPr>
          <w:t xml:space="preserve">[4]</w:t>
        </w:r>
      </w:hyperlink>
      <w:r>
        <w:t xml:space="preserve"> </w:t>
      </w:r>
      <w:r>
        <w:t xml:space="preserve">Average Rent in Marlborough, MA: 2026 Rent Prices by Neighborhood</w:t>
      </w:r>
    </w:p>
    <w:p>
      <w:pPr>
        <w:pStyle w:val="BodyText"/>
      </w:pPr>
      <w:hyperlink r:id="rId67">
        <w:r>
          <w:rPr>
            <w:rStyle w:val="Hyperlink"/>
          </w:rPr>
          <w:t xml:space="preserve">https://www.rentcafe.com/average-rent-market-trends/us/ma/marlborough/</w:t>
        </w:r>
      </w:hyperlink>
    </w:p>
    <w:p>
      <w:pPr>
        <w:pStyle w:val="BodyText"/>
      </w:pPr>
      <w:hyperlink r:id="rId26">
        <w:r>
          <w:rPr>
            <w:rStyle w:val="Hyperlink"/>
          </w:rPr>
          <w:t xml:space="preserve">[5]</w:t>
        </w:r>
      </w:hyperlink>
      <w:r>
        <w:t xml:space="preserve"> </w:t>
      </w:r>
      <w:r>
        <w:t xml:space="preserve">Rental Market Trends &amp; Average Rent in Marlborough, MA</w:t>
      </w:r>
      <w:r>
        <w:t xml:space="preserve"> </w:t>
      </w:r>
      <w:r>
        <w:t xml:space="preserve">| Rent.</w:t>
      </w:r>
    </w:p>
    <w:p>
      <w:pPr>
        <w:pStyle w:val="BodyText"/>
      </w:pPr>
      <w:hyperlink r:id="rId68">
        <w:r>
          <w:rPr>
            <w:rStyle w:val="Hyperlink"/>
          </w:rPr>
          <w:t xml:space="preserve">https://www.rent.com/massachusetts/marlborough-apartments/rent-trends</w:t>
        </w:r>
      </w:hyperlink>
    </w:p>
    <w:p>
      <w:pPr>
        <w:pStyle w:val="BodyText"/>
      </w:pPr>
      <w:hyperlink r:id="rId30">
        <w:r>
          <w:rPr>
            <w:rStyle w:val="Hyperlink"/>
          </w:rPr>
          <w:t xml:space="preserve">[6]</w:t>
        </w:r>
      </w:hyperlink>
      <w:r>
        <w:t xml:space="preserve"> </w:t>
      </w:r>
      <w:r>
        <w:t xml:space="preserve">City of Marlborough, MA Permitted Uses</w:t>
      </w:r>
    </w:p>
    <w:p>
      <w:pPr>
        <w:pStyle w:val="BodyText"/>
      </w:pPr>
      <w:hyperlink r:id="rId69">
        <w:r>
          <w:rPr>
            <w:rStyle w:val="Hyperlink"/>
          </w:rPr>
          <w:t xml:space="preserve">https://ecode360.com/9217014</w:t>
        </w:r>
      </w:hyperlink>
    </w:p>
    <w:p>
      <w:pPr>
        <w:pStyle w:val="BodyText"/>
      </w:pPr>
      <w:hyperlink r:id="rId31">
        <w:r>
          <w:rPr>
            <w:rStyle w:val="Hyperlink"/>
          </w:rPr>
          <w:t xml:space="preserve">[7]</w:t>
        </w:r>
      </w:hyperlink>
      <w:r>
        <w:t xml:space="preserve"> </w:t>
      </w:r>
      <w:r>
        <w:t xml:space="preserve">Security deposits and last month's rent | Mass.gov</w:t>
      </w:r>
    </w:p>
    <w:p>
      <w:pPr>
        <w:pStyle w:val="BodyText"/>
      </w:pPr>
      <w:hyperlink r:id="rId70">
        <w:r>
          <w:rPr>
            <w:rStyle w:val="Hyperlink"/>
          </w:rPr>
          <w:t xml:space="preserve">https://www.mass.gov/info-details/security-deposits-and-last-months-rent</w:t>
        </w:r>
      </w:hyperlink>
    </w:p>
    <w:p>
      <w:pPr>
        <w:pStyle w:val="BodyText"/>
      </w:pPr>
      <w:hyperlink r:id="rId32">
        <w:r>
          <w:rPr>
            <w:rStyle w:val="Hyperlink"/>
          </w:rPr>
          <w:t xml:space="preserve">[8]</w:t>
        </w:r>
      </w:hyperlink>
      <w:r>
        <w:t xml:space="preserve"> </w:t>
      </w:r>
      <w:r>
        <w:t xml:space="preserve">Tenants' guide to eviction | Mass.gov</w:t>
      </w:r>
    </w:p>
    <w:p>
      <w:pPr>
        <w:pStyle w:val="BodyText"/>
      </w:pPr>
      <w:hyperlink r:id="rId71">
        <w:r>
          <w:rPr>
            <w:rStyle w:val="Hyperlink"/>
          </w:rPr>
          <w:t xml:space="preserve">https://www.mass.gov/info-details/tenants-guide-to-eviction</w:t>
        </w:r>
      </w:hyperlink>
    </w:p>
    <w:p>
      <w:pPr>
        <w:pStyle w:val="BodyText"/>
      </w:pPr>
      <w:hyperlink r:id="rId33">
        <w:r>
          <w:rPr>
            <w:rStyle w:val="Hyperlink"/>
          </w:rPr>
          <w:t xml:space="preserve">[9]</w:t>
        </w:r>
      </w:hyperlink>
      <w:r>
        <w:t xml:space="preserve"> </w:t>
      </w:r>
      <w:r>
        <w:t xml:space="preserve">download</w:t>
      </w:r>
    </w:p>
    <w:p>
      <w:pPr>
        <w:pStyle w:val="BodyText"/>
      </w:pPr>
      <w:hyperlink r:id="rId72">
        <w:r>
          <w:rPr>
            <w:rStyle w:val="Hyperlink"/>
          </w:rPr>
          <w:t xml:space="preserve">https://www.mass.gov/doc/final-summary-for-25-21-an-initiative-petition-to-protect-tenants-by-limiting-rent-increases/download</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r>
        <w:t xml:space="preserve">U.S. Census Bureau QuickFacts: Marlborough city, Massachusetts</w:t>
      </w:r>
    </w:p>
    <w:p>
      <w:pPr>
        <w:pStyle w:val="BodyText"/>
      </w:pPr>
      <w:hyperlink r:id="rId73">
        <w:r>
          <w:rPr>
            <w:rStyle w:val="Hyperlink"/>
          </w:rPr>
          <w:t xml:space="preserve">https://www.census.gov/quickfacts/fact/table/marlboroughcitymassachusetts/RTN131222</w:t>
        </w:r>
      </w:hyperlink>
    </w:p>
    <w:p>
      <w:pPr>
        <w:pStyle w:val="BodyText"/>
      </w:pPr>
      <w:hyperlink r:id="rId39">
        <w:r>
          <w:rPr>
            <w:rStyle w:val="Hyperlink"/>
          </w:rPr>
          <w:t xml:space="preserve">[14]</w:t>
        </w:r>
      </w:hyperlink>
      <w:r>
        <w:t xml:space="preserve"> </w:t>
      </w:r>
      <w:r>
        <w:t xml:space="preserve">Life Sciences Hub - Marlborough Economic Development Corporation</w:t>
      </w:r>
    </w:p>
    <w:p>
      <w:pPr>
        <w:pStyle w:val="BodyText"/>
      </w:pPr>
      <w:hyperlink r:id="rId74">
        <w:r>
          <w:rPr>
            <w:rStyle w:val="Hyperlink"/>
          </w:rPr>
          <w:t xml:space="preserve">https://marlboroughedc.com/life-sciences-hub/</w:t>
        </w:r>
      </w:hyperlink>
    </w:p>
    <w:p>
      <w:pPr>
        <w:pStyle w:val="BodyText"/>
      </w:pPr>
      <w:hyperlink r:id="rId40">
        <w:r>
          <w:rPr>
            <w:rStyle w:val="Hyperlink"/>
          </w:rPr>
          <w:t xml:space="preserve">[15]</w:t>
        </w:r>
      </w:hyperlink>
      <w:r>
        <w:t xml:space="preserve"> </w:t>
      </w:r>
      <w:r>
        <w:t xml:space="preserve">Green District Phases 3 &amp; 4 (Post Road Realty LLC) Mixed-Use Development - Approved | Marlborough, MA</w:t>
      </w:r>
      <w:r>
        <w:t xml:space="preserve"> </w:t>
      </w:r>
    </w:p>
    <w:p>
      <w:pPr>
        <w:pStyle w:val="BodyText"/>
      </w:pPr>
      <w:hyperlink r:id="rId75">
        <w:r>
          <w:rPr>
            <w:rStyle w:val="Hyperlink"/>
          </w:rPr>
          <w:t xml:space="preserve">https://www.marlborough-ma.gov/537/Green-District-Phases-3-4-Post-Road-Real</w:t>
        </w:r>
      </w:hyperlink>
    </w:p>
    <w:p>
      <w:pPr>
        <w:pStyle w:val="BodyText"/>
      </w:pPr>
      <w:hyperlink r:id="rId41">
        <w:r>
          <w:rPr>
            <w:rStyle w:val="Hyperlink"/>
          </w:rPr>
          <w:t xml:space="preserve">[16]</w:t>
        </w:r>
      </w:hyperlink>
      <w:r>
        <w:t xml:space="preserve"> </w:t>
      </w:r>
      <w:r>
        <w:t xml:space="preserve">WP Marlborough, MA Owner, LLC [Walcott Heritage Farms] Multi-Family Residential Development Project at 339 Boston Post Road East - Approved | Marlborough, MA</w:t>
      </w:r>
      <w:r>
        <w:t xml:space="preserve"> </w:t>
      </w:r>
    </w:p>
    <w:p>
      <w:pPr>
        <w:pStyle w:val="BodyText"/>
      </w:pPr>
      <w:hyperlink r:id="rId76">
        <w:r>
          <w:rPr>
            <w:rStyle w:val="Hyperlink"/>
          </w:rPr>
          <w:t xml:space="preserve">https://www.marlborough-ma.gov/541/WP-Marlborough-MA-Owner-LLC-Walcott-Heri</w:t>
        </w:r>
      </w:hyperlink>
    </w:p>
    <w:p>
      <w:pPr>
        <w:pStyle w:val="BodyText"/>
      </w:pPr>
      <w:hyperlink r:id="rId42">
        <w:r>
          <w:rPr>
            <w:rStyle w:val="Hyperlink"/>
          </w:rPr>
          <w:t xml:space="preserve">[17]</w:t>
        </w:r>
      </w:hyperlink>
      <w:r>
        <w:t xml:space="preserve"> </w:t>
      </w:r>
      <w:r>
        <w:t xml:space="preserve">Exchange Place (JW Capital Partners, LLC) Mixed Use Project at 57 Main Street - Approved | Marlborough, MA</w:t>
      </w:r>
      <w:r>
        <w:t xml:space="preserve"> </w:t>
      </w:r>
    </w:p>
    <w:p>
      <w:pPr>
        <w:pStyle w:val="BodyText"/>
      </w:pPr>
      <w:hyperlink r:id="rId77">
        <w:r>
          <w:rPr>
            <w:rStyle w:val="Hyperlink"/>
          </w:rPr>
          <w:t xml:space="preserve">https://www.marlborough-ma.gov/539/Exchange-Place-JW-Capital-Partners-LLC-M</w:t>
        </w:r>
      </w:hyperlink>
    </w:p>
    <w:p>
      <w:pPr>
        <w:pStyle w:val="BodyText"/>
      </w:pPr>
      <w:hyperlink r:id="rId43">
        <w:r>
          <w:rPr>
            <w:rStyle w:val="Hyperlink"/>
          </w:rPr>
          <w:t xml:space="preserve">[18]</w:t>
        </w:r>
      </w:hyperlink>
      <w:r>
        <w:t xml:space="preserve"> </w:t>
      </w:r>
      <w:r>
        <w:t xml:space="preserve">Alta Marlborough, LLC (Wood Partners) Mixed Use Projects at Lincoln &amp; Mechanic Streets - Approved | Marlborough, MA</w:t>
      </w:r>
      <w:r>
        <w:t xml:space="preserve"> </w:t>
      </w:r>
    </w:p>
    <w:p>
      <w:pPr>
        <w:pStyle w:val="BodyText"/>
      </w:pPr>
      <w:hyperlink r:id="rId78">
        <w:r>
          <w:rPr>
            <w:rStyle w:val="Hyperlink"/>
          </w:rPr>
          <w:t xml:space="preserve">https://www.marlborough-ma.gov/543/Alta-Marlborough-LLC-Wood-Partners-Mixed</w:t>
        </w:r>
      </w:hyperlink>
    </w:p>
    <w:p>
      <w:pPr>
        <w:pStyle w:val="BodyText"/>
      </w:pPr>
      <w:hyperlink r:id="rId45">
        <w:r>
          <w:rPr>
            <w:rStyle w:val="Hyperlink"/>
          </w:rPr>
          <w:t xml:space="preserve">[19]</w:t>
        </w:r>
      </w:hyperlink>
      <w:r>
        <w:t xml:space="preserve"> </w:t>
      </w:r>
      <w:r>
        <w:t xml:space="preserve">Boston, MA Multifamily Market Report November 2025 - Matthews</w:t>
      </w:r>
    </w:p>
    <w:p>
      <w:pPr>
        <w:pStyle w:val="BodyText"/>
      </w:pPr>
      <w:hyperlink r:id="rId79">
        <w:r>
          <w:rPr>
            <w:rStyle w:val="Hyperlink"/>
          </w:rPr>
          <w:t xml:space="preserve">https://www.matthews.com/market_insights/boston-ma-multifamily-market-report-november-2025</w:t>
        </w:r>
      </w:hyperlink>
    </w:p>
    <w:p>
      <w:pPr>
        <w:pStyle w:val="BodyText"/>
      </w:pPr>
      <w:hyperlink r:id="rId46">
        <w:r>
          <w:rPr>
            <w:rStyle w:val="Hyperlink"/>
          </w:rPr>
          <w:t xml:space="preserve">[20]</w:t>
        </w:r>
      </w:hyperlink>
      <w:r>
        <w:t xml:space="preserve"> </w:t>
      </w:r>
      <w:r>
        <w:t xml:space="preserve">Boston-MA-USA-MultiFamily-Market-October-2-2025.pdf</w:t>
      </w:r>
    </w:p>
    <w:p>
      <w:pPr>
        <w:pStyle w:val="BodyText"/>
      </w:pPr>
      <w:hyperlink r:id="rId80">
        <w:r>
          <w:rPr>
            <w:rStyle w:val="Hyperlink"/>
          </w:rPr>
          <w:t xml:space="preserve">https://www.wronkaltd.com/wp-content/uploads/2025/10/Boston-MA-USA-MultiFamily-Market-October-2-2025.pdf</w:t>
        </w:r>
      </w:hyperlink>
    </w:p>
    <w:p>
      <w:pPr>
        <w:pStyle w:val="BodyText"/>
      </w:pPr>
      <w:hyperlink r:id="rId47">
        <w:r>
          <w:rPr>
            <w:rStyle w:val="Hyperlink"/>
          </w:rPr>
          <w:t xml:space="preserve">[21]</w:t>
        </w:r>
      </w:hyperlink>
      <w:r>
        <w:t xml:space="preserve"> </w:t>
      </w:r>
      <w:r>
        <w:t xml:space="preserve">Boston Multi-Family Cap Rates 2025: Complete Investor Guide | Signal Real Estate</w:t>
      </w:r>
    </w:p>
    <w:p>
      <w:pPr>
        <w:pStyle w:val="BodyText"/>
      </w:pPr>
      <w:hyperlink r:id="rId81">
        <w:r>
          <w:rPr>
            <w:rStyle w:val="Hyperlink"/>
          </w:rPr>
          <w:t xml:space="preserve">https://www.signalrealestate.com/blog/boston-multi-family-cap-rates-2025-complete-investor-guide/</w:t>
        </w:r>
      </w:hyperlink>
    </w:p>
    <w:p>
      <w:pPr>
        <w:pStyle w:val="BodyText"/>
      </w:pPr>
      <w:hyperlink r:id="rId48">
        <w:r>
          <w:rPr>
            <w:rStyle w:val="Hyperlink"/>
          </w:rPr>
          <w:t xml:space="preserve">[22]</w:t>
        </w:r>
      </w:hyperlink>
      <w:r>
        <w:t xml:space="preserve"> </w:t>
      </w:r>
      <w:hyperlink r:id="rId49">
        <w:r>
          <w:rPr>
            <w:rStyle w:val="Hyperlink"/>
          </w:rPr>
          <w:t xml:space="preserve">[23]</w:t>
        </w:r>
      </w:hyperlink>
      <w:r>
        <w:t xml:space="preserve"> </w:t>
      </w:r>
      <w:r>
        <w:t xml:space="preserve">2026 Interest Rates &amp; Debt Capital Outlook</w:t>
      </w:r>
    </w:p>
    <w:p>
      <w:pPr>
        <w:pStyle w:val="BodyText"/>
      </w:pPr>
      <w:hyperlink r:id="rId82">
        <w:r>
          <w:rPr>
            <w:rStyle w:val="Hyperlink"/>
          </w:rPr>
          <w:t xml:space="preserve">https://www.marcusmillichap.com/research/research-brief/2026/01/research-brief-january-2026-interest-rates-and-debt-capital-outlook</w:t>
        </w:r>
      </w:hyperlink>
    </w:p>
    <w:p>
      <w:pPr>
        <w:pStyle w:val="BodyText"/>
      </w:pPr>
      <w:hyperlink r:id="rId50">
        <w:r>
          <w:rPr>
            <w:rStyle w:val="Hyperlink"/>
          </w:rPr>
          <w:t xml:space="preserve">[24]</w:t>
        </w:r>
      </w:hyperlink>
      <w:r>
        <w:t xml:space="preserve"> </w:t>
      </w:r>
      <w:r>
        <w:t xml:space="preserve">The Factors Influencing Cap Rates in 2026 - Matthews</w:t>
      </w:r>
    </w:p>
    <w:p>
      <w:pPr>
        <w:pStyle w:val="BodyText"/>
      </w:pPr>
      <w:hyperlink r:id="rId83">
        <w:r>
          <w:rPr>
            <w:rStyle w:val="Hyperlink"/>
          </w:rPr>
          <w:t xml:space="preserve">https://www.matthews.com/market_insights/cap-rate-real-estate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ecode360.com/9217014" TargetMode="External" /><Relationship Type="http://schemas.openxmlformats.org/officeDocument/2006/relationships/hyperlink" Id="rId30" Target="https://ecode360.com/9217014#:~:text=Conversion%20of%20a%20single,accommodate%20two%20families%2C%20provided%20that" TargetMode="External" /><Relationship Type="http://schemas.openxmlformats.org/officeDocument/2006/relationships/hyperlink" Id="rId64" Target="https://marlboroughedc.com/fast-facts-data/" TargetMode="External" /><Relationship Type="http://schemas.openxmlformats.org/officeDocument/2006/relationships/hyperlink" Id="rId21" Target="https://marlboroughedc.com/fast-facts-data/#:~:text=Premier%20Companies%3A%20Cytiva%2C%20Boston%20Scientific%2C,DuPont%2C%20Ken%E2%80%99s%20Foods%2C%20Lifeward%2C%20Sartorius" TargetMode="External" /><Relationship Type="http://schemas.openxmlformats.org/officeDocument/2006/relationships/hyperlink" Id="rId74" Target="https://marlboroughedc.com/life-sciences-hub/" TargetMode="External" /><Relationship Type="http://schemas.openxmlformats.org/officeDocument/2006/relationships/hyperlink" Id="rId39" Target="https://marlboroughedc.com/life-sciences-hub/#:~:text=Tax%20Increment%20Financing%20,Growth%20in%20Marlborough" TargetMode="External" /><Relationship Type="http://schemas.openxmlformats.org/officeDocument/2006/relationships/hyperlink" Id="rId73" Target="https://www.census.gov/quickfacts/fact/table/marlboroughcitymassachusetts/RTN131222" TargetMode="External" /><Relationship Type="http://schemas.openxmlformats.org/officeDocument/2006/relationships/hyperlink" Id="rId35" Target="https://www.census.gov/quickfacts/fact/table/marlboroughcitymassachusetts/RTN131222#:~:text=" TargetMode="External" /><Relationship Type="http://schemas.openxmlformats.org/officeDocument/2006/relationships/hyperlink" Id="rId38" Target="https://www.census.gov/quickfacts/fact/table/marlboroughcitymassachusetts/RTN131222#:~:text=High%20school%20graduate%20or%20higher%2C,2024%2040.5" TargetMode="External" /><Relationship Type="http://schemas.openxmlformats.org/officeDocument/2006/relationships/hyperlink" Id="rId37" Target="https://www.census.gov/quickfacts/fact/table/marlboroughcitymassachusetts/RTN131222#:~:text=Median%20households%20income%20,46%2C241%20Persons%20in%20poverty%2C%20percent" TargetMode="External" /><Relationship Type="http://schemas.openxmlformats.org/officeDocument/2006/relationships/hyperlink" Id="rId36" Target="https://www.census.gov/quickfacts/fact/table/marlboroughcitymassachusetts/RTN131222#:~:text=Owner,X%20Families%20%26%20Living%20Arrangements" TargetMode="External" /><Relationship Type="http://schemas.openxmlformats.org/officeDocument/2006/relationships/hyperlink" Id="rId82" Target="https://www.marcusmillichap.com/research/research-brief/2026/01/research-brief-january-2026-interest-rates-and-debt-capital-outlook" TargetMode="External" /><Relationship Type="http://schemas.openxmlformats.org/officeDocument/2006/relationships/hyperlink" Id="rId48" Target="https://www.marcusmillichap.com/research/research-brief/2026/01/research-brief-january-2026-interest-rates-and-debt-capital-outlook#:~:text=,headline%20CPI%20near%203%20percent" TargetMode="External" /><Relationship Type="http://schemas.openxmlformats.org/officeDocument/2006/relationships/hyperlink" Id="rId49" Target="https://www.marcusmillichap.com/research/research-brief/2026/01/research-brief-january-2026-interest-rates-and-debt-capital-outlook#:~:text=market%2C%20a%20trend%20that%20should,rates%20will%20remain%20stable%20or" TargetMode="External" /><Relationship Type="http://schemas.openxmlformats.org/officeDocument/2006/relationships/hyperlink" Id="rId66" Target="https://www.marlborough-ma.gov/369/Present-Past-Tax-Rates" TargetMode="External" /><Relationship Type="http://schemas.openxmlformats.org/officeDocument/2006/relationships/hyperlink" Id="rId23" Target="https://www.marlborough-ma.gov/369/Present-Past-Tax-Rates#:~:text=2026%2010,66%20N%2FA%20N%2FA" TargetMode="External" /><Relationship Type="http://schemas.openxmlformats.org/officeDocument/2006/relationships/hyperlink" Id="rId75" Target="https://www.marlborough-ma.gov/537/Green-District-Phases-3-4-Post-Road-Real" TargetMode="External" /><Relationship Type="http://schemas.openxmlformats.org/officeDocument/2006/relationships/hyperlink" Id="rId40" Target="https://www.marlborough-ma.gov/537/Green-District-Phases-3-4-Post-Road-Real#:~:text=This%20project%20is%20seeking%20a,resident%20amenities%2C%20and%20landscaped%20areas" TargetMode="External" /><Relationship Type="http://schemas.openxmlformats.org/officeDocument/2006/relationships/hyperlink" Id="rId77" Target="https://www.marlborough-ma.gov/539/Exchange-Place-JW-Capital-Partners-LLC-M" TargetMode="External" /><Relationship Type="http://schemas.openxmlformats.org/officeDocument/2006/relationships/hyperlink" Id="rId42" Target="https://www.marlborough-ma.gov/539/Exchange-Place-JW-Capital-Partners-LLC-M#:~:text=This%20project%20is%20seeking%20and,courtyard%20adjacent%20to%20Union%20Common" TargetMode="External" /><Relationship Type="http://schemas.openxmlformats.org/officeDocument/2006/relationships/hyperlink" Id="rId76" Target="https://www.marlborough-ma.gov/541/WP-Marlborough-MA-Owner-LLC-Walcott-Heri" TargetMode="External" /><Relationship Type="http://schemas.openxmlformats.org/officeDocument/2006/relationships/hyperlink" Id="rId41" Target="https://www.marlborough-ma.gov/541/WP-Marlborough-MA-Owner-LLC-Walcott-Heri#:~:text=This%20project%20is%20seeking%20a,7%20acres" TargetMode="External" /><Relationship Type="http://schemas.openxmlformats.org/officeDocument/2006/relationships/hyperlink" Id="rId78" Target="https://www.marlborough-ma.gov/543/Alta-Marlborough-LLC-Wood-Partners-Mixed" TargetMode="External" /><Relationship Type="http://schemas.openxmlformats.org/officeDocument/2006/relationships/hyperlink" Id="rId43" Target="https://www.marlborough-ma.gov/543/Alta-Marlborough-LLC-Wood-Partners-Mixed#:~:text=This%20project%20is%20seeking%20a,the%20City%20for%20public%20use" TargetMode="External" /><Relationship Type="http://schemas.openxmlformats.org/officeDocument/2006/relationships/hyperlink" Id="rId72" Target="https://www.mass.gov/doc/final-summary-for-25-21-an-initiative-petition-to-protect-tenants-by-limiting-rent-increases/download" TargetMode="External" /><Relationship Type="http://schemas.openxmlformats.org/officeDocument/2006/relationships/hyperlink" Id="rId33"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65" Target="https://www.mass.gov/info-details/accessory-dwelling-units" TargetMode="External" /><Relationship Type="http://schemas.openxmlformats.org/officeDocument/2006/relationships/hyperlink" Id="rId22" Target="https://www.mass.gov/info-details/accessory-dwelling-units#:~:text=On%20Aug,will%20make%20a%20big%20difference" TargetMode="External" /><Relationship Type="http://schemas.openxmlformats.org/officeDocument/2006/relationships/hyperlink" Id="rId70" Target="https://www.mass.gov/info-details/security-deposits-and-last-months-rent" TargetMode="External" /><Relationship Type="http://schemas.openxmlformats.org/officeDocument/2006/relationships/hyperlink" Id="rId31" Target="https://www.mass.gov/info-details/security-deposits-and-last-months-rent#:~:text=Landlords%20are%C2%A0allowed%20to%20collect%20the,for%20a%20lock%20and%20key" TargetMode="External" /><Relationship Type="http://schemas.openxmlformats.org/officeDocument/2006/relationships/hyperlink" Id="rId71" Target="https://www.mass.gov/info-details/tenants-guide-to-eviction" TargetMode="External" /><Relationship Type="http://schemas.openxmlformats.org/officeDocument/2006/relationships/hyperlink" Id="rId32" Target="https://www.mass.gov/info-details/tenants-guide-to-eviction#:~:text=,you%20need%20to%20leave%20immediately" TargetMode="External" /><Relationship Type="http://schemas.openxmlformats.org/officeDocument/2006/relationships/hyperlink" Id="rId79" Target="https://www.matthews.com/market_insights/boston-ma-multifamily-market-report-november-2025" TargetMode="External" /><Relationship Type="http://schemas.openxmlformats.org/officeDocument/2006/relationships/hyperlink" Id="rId45" Target="https://www.matthews.com/market_insights/boston-ma-multifamily-market-report-november-2025#:~:text=Boston%E2%80%99s%20multifamily%20investment%20activity%20remains,nearly%20half%20of%20acquisitions%20and" TargetMode="External" /><Relationship Type="http://schemas.openxmlformats.org/officeDocument/2006/relationships/hyperlink" Id="rId83" Target="https://www.matthews.com/market_insights/cap-rate-real-estate" TargetMode="External" /><Relationship Type="http://schemas.openxmlformats.org/officeDocument/2006/relationships/hyperlink" Id="rId50" Target="https://www.matthews.com/market_insights/cap-rate-real-estate#:~:text=Macroeconomic%20Enviornment" TargetMode="External" /><Relationship Type="http://schemas.openxmlformats.org/officeDocument/2006/relationships/hyperlink" Id="rId68" Target="https://www.rent.com/massachusetts/marlborough-apartments/rent-trends" TargetMode="External" /><Relationship Type="http://schemas.openxmlformats.org/officeDocument/2006/relationships/hyperlink" Id="rId26" Target="https://www.rent.com/massachusetts/marlborough-apartments/rent-trends#:~:text=Average%20Rent%20in%20Marlborough%2C%20MA" TargetMode="External" /><Relationship Type="http://schemas.openxmlformats.org/officeDocument/2006/relationships/hyperlink" Id="rId67" Target="https://www.rentcafe.com/average-rent-market-trends/us/ma/marlborough/" TargetMode="External" /><Relationship Type="http://schemas.openxmlformats.org/officeDocument/2006/relationships/hyperlink" Id="rId25" Target="https://www.rentcafe.com/average-rent-market-trends/us/ma/marlborough/#:~:text=The%20average%20rent%20for%20an,the%20average%20rent%20was%20%242%2C456" TargetMode="External" /><Relationship Type="http://schemas.openxmlformats.org/officeDocument/2006/relationships/hyperlink" Id="rId81" Target="https://www.signalrealestate.com/blog/boston-multi-family-cap-rates-2025-complete-investor-guide/" TargetMode="External" /><Relationship Type="http://schemas.openxmlformats.org/officeDocument/2006/relationships/hyperlink" Id="rId47" Target="https://www.signalrealestate.com/blog/boston-multi-family-cap-rates-2025-complete-investor-guide/#:~:text=,7.5" TargetMode="External" /><Relationship Type="http://schemas.openxmlformats.org/officeDocument/2006/relationships/hyperlink" Id="rId80" Target="https://www.wronkaltd.com/wp-content/uploads/2025/10/Boston-MA-USA-MultiFamily-Market-October-2-2025.pdf" TargetMode="External" /><Relationship Type="http://schemas.openxmlformats.org/officeDocument/2006/relationships/hyperlink" Id="rId46" Target="https://www.wronkaltd.com/wp-content/uploads/2025/10/Boston-MA-USA-MultiFamily-Market-October-2-2025.pdf#:~:text=%24450%2C000%2Funit%20compared%20to%20the%20National,surge%20that%20began%20in%202021" TargetMode="External" /></Relationships>
</file>

<file path=word/_rels/footnotes.xml.rels><?xml version="1.0" encoding="UTF-8"?><Relationships xmlns="http://schemas.openxmlformats.org/package/2006/relationships"><Relationship Type="http://schemas.openxmlformats.org/officeDocument/2006/relationships/hyperlink" Id="rId69" Target="https://ecode360.com/9217014" TargetMode="External" /><Relationship Type="http://schemas.openxmlformats.org/officeDocument/2006/relationships/hyperlink" Id="rId30" Target="https://ecode360.com/9217014#:~:text=Conversion%20of%20a%20single,accommodate%20two%20families%2C%20provided%20that" TargetMode="External" /><Relationship Type="http://schemas.openxmlformats.org/officeDocument/2006/relationships/hyperlink" Id="rId64" Target="https://marlboroughedc.com/fast-facts-data/" TargetMode="External" /><Relationship Type="http://schemas.openxmlformats.org/officeDocument/2006/relationships/hyperlink" Id="rId21" Target="https://marlboroughedc.com/fast-facts-data/#:~:text=Premier%20Companies%3A%20Cytiva%2C%20Boston%20Scientific%2C,DuPont%2C%20Ken%E2%80%99s%20Foods%2C%20Lifeward%2C%20Sartorius" TargetMode="External" /><Relationship Type="http://schemas.openxmlformats.org/officeDocument/2006/relationships/hyperlink" Id="rId74" Target="https://marlboroughedc.com/life-sciences-hub/" TargetMode="External" /><Relationship Type="http://schemas.openxmlformats.org/officeDocument/2006/relationships/hyperlink" Id="rId39" Target="https://marlboroughedc.com/life-sciences-hub/#:~:text=Tax%20Increment%20Financing%20,Growth%20in%20Marlborough" TargetMode="External" /><Relationship Type="http://schemas.openxmlformats.org/officeDocument/2006/relationships/hyperlink" Id="rId73" Target="https://www.census.gov/quickfacts/fact/table/marlboroughcitymassachusetts/RTN131222" TargetMode="External" /><Relationship Type="http://schemas.openxmlformats.org/officeDocument/2006/relationships/hyperlink" Id="rId35" Target="https://www.census.gov/quickfacts/fact/table/marlboroughcitymassachusetts/RTN131222#:~:text=" TargetMode="External" /><Relationship Type="http://schemas.openxmlformats.org/officeDocument/2006/relationships/hyperlink" Id="rId38" Target="https://www.census.gov/quickfacts/fact/table/marlboroughcitymassachusetts/RTN131222#:~:text=High%20school%20graduate%20or%20higher%2C,2024%2040.5" TargetMode="External" /><Relationship Type="http://schemas.openxmlformats.org/officeDocument/2006/relationships/hyperlink" Id="rId37" Target="https://www.census.gov/quickfacts/fact/table/marlboroughcitymassachusetts/RTN131222#:~:text=Median%20households%20income%20,46%2C241%20Persons%20in%20poverty%2C%20percent" TargetMode="External" /><Relationship Type="http://schemas.openxmlformats.org/officeDocument/2006/relationships/hyperlink" Id="rId36" Target="https://www.census.gov/quickfacts/fact/table/marlboroughcitymassachusetts/RTN131222#:~:text=Owner,X%20Families%20%26%20Living%20Arrangements" TargetMode="External" /><Relationship Type="http://schemas.openxmlformats.org/officeDocument/2006/relationships/hyperlink" Id="rId82" Target="https://www.marcusmillichap.com/research/research-brief/2026/01/research-brief-january-2026-interest-rates-and-debt-capital-outlook" TargetMode="External" /><Relationship Type="http://schemas.openxmlformats.org/officeDocument/2006/relationships/hyperlink" Id="rId48" Target="https://www.marcusmillichap.com/research/research-brief/2026/01/research-brief-january-2026-interest-rates-and-debt-capital-outlook#:~:text=,headline%20CPI%20near%203%20percent" TargetMode="External" /><Relationship Type="http://schemas.openxmlformats.org/officeDocument/2006/relationships/hyperlink" Id="rId49" Target="https://www.marcusmillichap.com/research/research-brief/2026/01/research-brief-january-2026-interest-rates-and-debt-capital-outlook#:~:text=market%2C%20a%20trend%20that%20should,rates%20will%20remain%20stable%20or" TargetMode="External" /><Relationship Type="http://schemas.openxmlformats.org/officeDocument/2006/relationships/hyperlink" Id="rId66" Target="https://www.marlborough-ma.gov/369/Present-Past-Tax-Rates" TargetMode="External" /><Relationship Type="http://schemas.openxmlformats.org/officeDocument/2006/relationships/hyperlink" Id="rId23" Target="https://www.marlborough-ma.gov/369/Present-Past-Tax-Rates#:~:text=2026%2010,66%20N%2FA%20N%2FA" TargetMode="External" /><Relationship Type="http://schemas.openxmlformats.org/officeDocument/2006/relationships/hyperlink" Id="rId75" Target="https://www.marlborough-ma.gov/537/Green-District-Phases-3-4-Post-Road-Real" TargetMode="External" /><Relationship Type="http://schemas.openxmlformats.org/officeDocument/2006/relationships/hyperlink" Id="rId40" Target="https://www.marlborough-ma.gov/537/Green-District-Phases-3-4-Post-Road-Real#:~:text=This%20project%20is%20seeking%20a,resident%20amenities%2C%20and%20landscaped%20areas" TargetMode="External" /><Relationship Type="http://schemas.openxmlformats.org/officeDocument/2006/relationships/hyperlink" Id="rId77" Target="https://www.marlborough-ma.gov/539/Exchange-Place-JW-Capital-Partners-LLC-M" TargetMode="External" /><Relationship Type="http://schemas.openxmlformats.org/officeDocument/2006/relationships/hyperlink" Id="rId42" Target="https://www.marlborough-ma.gov/539/Exchange-Place-JW-Capital-Partners-LLC-M#:~:text=This%20project%20is%20seeking%20and,courtyard%20adjacent%20to%20Union%20Common" TargetMode="External" /><Relationship Type="http://schemas.openxmlformats.org/officeDocument/2006/relationships/hyperlink" Id="rId76" Target="https://www.marlborough-ma.gov/541/WP-Marlborough-MA-Owner-LLC-Walcott-Heri" TargetMode="External" /><Relationship Type="http://schemas.openxmlformats.org/officeDocument/2006/relationships/hyperlink" Id="rId41" Target="https://www.marlborough-ma.gov/541/WP-Marlborough-MA-Owner-LLC-Walcott-Heri#:~:text=This%20project%20is%20seeking%20a,7%20acres" TargetMode="External" /><Relationship Type="http://schemas.openxmlformats.org/officeDocument/2006/relationships/hyperlink" Id="rId78" Target="https://www.marlborough-ma.gov/543/Alta-Marlborough-LLC-Wood-Partners-Mixed" TargetMode="External" /><Relationship Type="http://schemas.openxmlformats.org/officeDocument/2006/relationships/hyperlink" Id="rId43" Target="https://www.marlborough-ma.gov/543/Alta-Marlborough-LLC-Wood-Partners-Mixed#:~:text=This%20project%20is%20seeking%20a,the%20City%20for%20public%20use" TargetMode="External" /><Relationship Type="http://schemas.openxmlformats.org/officeDocument/2006/relationships/hyperlink" Id="rId72" Target="https://www.mass.gov/doc/final-summary-for-25-21-an-initiative-petition-to-protect-tenants-by-limiting-rent-increases/download" TargetMode="External" /><Relationship Type="http://schemas.openxmlformats.org/officeDocument/2006/relationships/hyperlink" Id="rId33"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65" Target="https://www.mass.gov/info-details/accessory-dwelling-units" TargetMode="External" /><Relationship Type="http://schemas.openxmlformats.org/officeDocument/2006/relationships/hyperlink" Id="rId22" Target="https://www.mass.gov/info-details/accessory-dwelling-units#:~:text=On%20Aug,will%20make%20a%20big%20difference" TargetMode="External" /><Relationship Type="http://schemas.openxmlformats.org/officeDocument/2006/relationships/hyperlink" Id="rId70" Target="https://www.mass.gov/info-details/security-deposits-and-last-months-rent" TargetMode="External" /><Relationship Type="http://schemas.openxmlformats.org/officeDocument/2006/relationships/hyperlink" Id="rId31" Target="https://www.mass.gov/info-details/security-deposits-and-last-months-rent#:~:text=Landlords%20are%C2%A0allowed%20to%20collect%20the,for%20a%20lock%20and%20key" TargetMode="External" /><Relationship Type="http://schemas.openxmlformats.org/officeDocument/2006/relationships/hyperlink" Id="rId71" Target="https://www.mass.gov/info-details/tenants-guide-to-eviction" TargetMode="External" /><Relationship Type="http://schemas.openxmlformats.org/officeDocument/2006/relationships/hyperlink" Id="rId32" Target="https://www.mass.gov/info-details/tenants-guide-to-eviction#:~:text=,you%20need%20to%20leave%20immediately" TargetMode="External" /><Relationship Type="http://schemas.openxmlformats.org/officeDocument/2006/relationships/hyperlink" Id="rId79" Target="https://www.matthews.com/market_insights/boston-ma-multifamily-market-report-november-2025" TargetMode="External" /><Relationship Type="http://schemas.openxmlformats.org/officeDocument/2006/relationships/hyperlink" Id="rId45" Target="https://www.matthews.com/market_insights/boston-ma-multifamily-market-report-november-2025#:~:text=Boston%E2%80%99s%20multifamily%20investment%20activity%20remains,nearly%20half%20of%20acquisitions%20and" TargetMode="External" /><Relationship Type="http://schemas.openxmlformats.org/officeDocument/2006/relationships/hyperlink" Id="rId83" Target="https://www.matthews.com/market_insights/cap-rate-real-estate" TargetMode="External" /><Relationship Type="http://schemas.openxmlformats.org/officeDocument/2006/relationships/hyperlink" Id="rId50" Target="https://www.matthews.com/market_insights/cap-rate-real-estate#:~:text=Macroeconomic%20Enviornment" TargetMode="External" /><Relationship Type="http://schemas.openxmlformats.org/officeDocument/2006/relationships/hyperlink" Id="rId68" Target="https://www.rent.com/massachusetts/marlborough-apartments/rent-trends" TargetMode="External" /><Relationship Type="http://schemas.openxmlformats.org/officeDocument/2006/relationships/hyperlink" Id="rId26" Target="https://www.rent.com/massachusetts/marlborough-apartments/rent-trends#:~:text=Average%20Rent%20in%20Marlborough%2C%20MA" TargetMode="External" /><Relationship Type="http://schemas.openxmlformats.org/officeDocument/2006/relationships/hyperlink" Id="rId67" Target="https://www.rentcafe.com/average-rent-market-trends/us/ma/marlborough/" TargetMode="External" /><Relationship Type="http://schemas.openxmlformats.org/officeDocument/2006/relationships/hyperlink" Id="rId25" Target="https://www.rentcafe.com/average-rent-market-trends/us/ma/marlborough/#:~:text=The%20average%20rent%20for%20an,the%20average%20rent%20was%20%242%2C456" TargetMode="External" /><Relationship Type="http://schemas.openxmlformats.org/officeDocument/2006/relationships/hyperlink" Id="rId81" Target="https://www.signalrealestate.com/blog/boston-multi-family-cap-rates-2025-complete-investor-guide/" TargetMode="External" /><Relationship Type="http://schemas.openxmlformats.org/officeDocument/2006/relationships/hyperlink" Id="rId47" Target="https://www.signalrealestate.com/blog/boston-multi-family-cap-rates-2025-complete-investor-guide/#:~:text=,7.5" TargetMode="External" /><Relationship Type="http://schemas.openxmlformats.org/officeDocument/2006/relationships/hyperlink" Id="rId80" Target="https://www.wronkaltd.com/wp-content/uploads/2025/10/Boston-MA-USA-MultiFamily-Market-October-2-2025.pdf" TargetMode="External" /><Relationship Type="http://schemas.openxmlformats.org/officeDocument/2006/relationships/hyperlink" Id="rId46" Target="https://www.wronkaltd.com/wp-content/uploads/2025/10/Boston-MA-USA-MultiFamily-Market-October-2-2025.pdf#:~:text=%24450%2C000%2Funit%20compared%20to%20the%20National,surge%20that%20began%20in%202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2026-02-03T01:39:48Z</dcterms:created>
  <dcterms:modified xsi:type="dcterms:W3CDTF">2026-02-03T01:39:48Z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