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95fcc03a1a8c8505349e1e2aba3094677239d72"/>
    <w:p>
      <w:pPr>
        <w:pStyle w:val="Heading1"/>
      </w:pPr>
      <w:r>
        <w:t xml:space="preserve">Investor‑Facing App Specification for Marlborough Real‑Estate Analysis</w:t>
      </w:r>
    </w:p>
    <w:bookmarkStart w:id="21" w:name="overview"/>
    <w:p>
      <w:pPr>
        <w:pStyle w:val="Heading2"/>
      </w:pPr>
      <w:r>
        <w:t xml:space="preserve">Overview</w:t>
      </w:r>
    </w:p>
    <w:p>
      <w:pPr>
        <w:pStyle w:val="FirstParagraph"/>
      </w:pPr>
      <w:r>
        <w:t xml:space="preserve">This specification describes a web‑based application that delivers data‑driven real‑estate insights for investors targeting Marlborough, Massachusetts. Each investment strategy is represented as a top‑level tab, and tabs include real‑time screening of MLS data, optionality analysis and off‑market leads. The system ingests updated MLS exports, cleans and enriches the data, computes financial metrics and classifies opportunities according to pre‑defined strategy profiles (core buy‑and‑hold, value‑add/renovation, small multi‑family income, development/redevelopment and creative/ADU). Users can review recommended deals, watchlist items and optionality plays, adjust underwriting assumptions, and explore an off‑market pipeline.</w:t>
      </w:r>
    </w:p>
    <w:bookmarkEnd w:id="21"/>
    <w:bookmarkStart w:id="22" w:name="app-sitemap"/>
    <w:p>
      <w:pPr>
        <w:pStyle w:val="Heading2"/>
      </w:pPr>
      <w:r>
        <w:t xml:space="preserve">1 App Sitemap</w:t>
      </w:r>
    </w:p>
    <w:p>
      <w:pPr>
        <w:pStyle w:val="FirstParagraph"/>
      </w:pPr>
      <w:r>
        <w:t xml:space="preserve">The app is organised by strategy tabs, each containing consistent sub‑sections:</w:t>
      </w:r>
    </w:p>
    <w:p>
      <w:pPr>
        <w:numPr>
          <w:ilvl w:val="0"/>
          <w:numId w:val="1001"/>
        </w:numPr>
      </w:pPr>
      <w:r>
        <w:rPr>
          <w:b/>
          <w:bCs/>
        </w:rPr>
        <w:t xml:space="preserve">Dashboard (Home)</w:t>
      </w:r>
      <w:r>
        <w:t xml:space="preserve"> </w:t>
      </w:r>
      <w:r>
        <w:t xml:space="preserve">– high‑level market summary: recent price and rent trends, cap‑rate landscape, distribution of listings by strategy, and last data refresh timestamp.</w:t>
      </w:r>
    </w:p>
    <w:p>
      <w:pPr>
        <w:numPr>
          <w:ilvl w:val="0"/>
          <w:numId w:val="1001"/>
        </w:numPr>
      </w:pPr>
      <w:r>
        <w:rPr>
          <w:b/>
          <w:bCs/>
        </w:rPr>
        <w:t xml:space="preserve">Core Buy‑and‑Hold</w:t>
      </w:r>
    </w:p>
    <w:p>
      <w:pPr>
        <w:pStyle w:val="Compact"/>
        <w:numPr>
          <w:ilvl w:val="0"/>
          <w:numId w:val="1001"/>
        </w:numPr>
      </w:pPr>
      <w:r>
        <w:rPr>
          <w:i/>
          <w:iCs/>
        </w:rPr>
        <w:t xml:space="preserve">Recommended Deals</w:t>
      </w:r>
      <w:r>
        <w:t xml:space="preserve"> </w:t>
      </w:r>
      <w:r>
        <w:t xml:space="preserve">– table of properties meeting conservative cap‑rate and risk criteria.</w:t>
      </w:r>
    </w:p>
    <w:p>
      <w:pPr>
        <w:pStyle w:val="Compact"/>
        <w:numPr>
          <w:ilvl w:val="0"/>
          <w:numId w:val="1001"/>
        </w:numPr>
      </w:pPr>
      <w:r>
        <w:rPr>
          <w:i/>
          <w:iCs/>
        </w:rPr>
        <w:t xml:space="preserve">Watchlist</w:t>
      </w:r>
      <w:r>
        <w:t xml:space="preserve"> </w:t>
      </w:r>
      <w:r>
        <w:t xml:space="preserve">– properties that nearly qualify but need verification (e.g., HOA fees, condition).</w:t>
      </w:r>
    </w:p>
    <w:p>
      <w:pPr>
        <w:pStyle w:val="Compact"/>
        <w:numPr>
          <w:ilvl w:val="0"/>
          <w:numId w:val="1001"/>
        </w:numPr>
      </w:pPr>
      <w:r>
        <w:rPr>
          <w:i/>
          <w:iCs/>
        </w:rPr>
        <w:t xml:space="preserve">Optionality</w:t>
      </w:r>
      <w:r>
        <w:t xml:space="preserve"> </w:t>
      </w:r>
      <w:r>
        <w:t xml:space="preserve">– single‑family properties with large lots or in‑law potential that could be repositioned into buy‑and‑hold assets after conversion.</w:t>
      </w:r>
    </w:p>
    <w:p>
      <w:pPr>
        <w:pStyle w:val="Compact"/>
        <w:numPr>
          <w:ilvl w:val="0"/>
          <w:numId w:val="1001"/>
        </w:numPr>
      </w:pPr>
      <w:r>
        <w:rPr>
          <w:i/>
          <w:iCs/>
        </w:rPr>
        <w:t xml:space="preserve">Assumptions &amp; Risks</w:t>
      </w:r>
      <w:r>
        <w:t xml:space="preserve"> </w:t>
      </w:r>
      <w:r>
        <w:t xml:space="preserve">– rent and expense assumptions, tax rates, financing terms, and risk checklist.</w:t>
      </w:r>
    </w:p>
    <w:p>
      <w:pPr>
        <w:numPr>
          <w:ilvl w:val="0"/>
          <w:numId w:val="1001"/>
        </w:numPr>
      </w:pPr>
      <w:r>
        <w:rPr>
          <w:i/>
          <w:iCs/>
        </w:rPr>
        <w:t xml:space="preserve">Off‑Market Pipeline</w:t>
      </w:r>
      <w:r>
        <w:t xml:space="preserve"> </w:t>
      </w:r>
      <w:r>
        <w:t xml:space="preserve">– description of target owner profiles, search filters and outreach plan for sourcing non‑listed buy‑and‑hold homes.</w:t>
      </w:r>
    </w:p>
    <w:p>
      <w:pPr>
        <w:numPr>
          <w:ilvl w:val="0"/>
          <w:numId w:val="1001"/>
        </w:numPr>
      </w:pPr>
      <w:r>
        <w:rPr>
          <w:b/>
          <w:bCs/>
        </w:rPr>
        <w:t xml:space="preserve">Value‑Add / Renovation</w:t>
      </w:r>
      <w:r>
        <w:t xml:space="preserve"> </w:t>
      </w:r>
      <w:r>
        <w:t xml:space="preserve">(Balanced &amp; Growth profiles supported)</w:t>
      </w:r>
    </w:p>
    <w:p>
      <w:pPr>
        <w:pStyle w:val="Compact"/>
        <w:numPr>
          <w:ilvl w:val="0"/>
          <w:numId w:val="1001"/>
        </w:numPr>
      </w:pPr>
      <w:r>
        <w:rPr>
          <w:i/>
          <w:iCs/>
        </w:rPr>
        <w:t xml:space="preserve">Recommended Deals</w:t>
      </w:r>
      <w:r>
        <w:t xml:space="preserve"> </w:t>
      </w:r>
      <w:r>
        <w:t xml:space="preserve">– top MLS listings with entry cap rate ≥ balanced threshold and clear renovation upside.</w:t>
      </w:r>
    </w:p>
    <w:p>
      <w:pPr>
        <w:pStyle w:val="Compact"/>
        <w:numPr>
          <w:ilvl w:val="0"/>
          <w:numId w:val="1001"/>
        </w:numPr>
      </w:pPr>
      <w:r>
        <w:rPr>
          <w:i/>
          <w:iCs/>
        </w:rPr>
        <w:t xml:space="preserve">Watchlist</w:t>
      </w:r>
      <w:r>
        <w:t xml:space="preserve"> </w:t>
      </w:r>
      <w:r>
        <w:t xml:space="preserve">– candidate deals with lower entry cap or unknown costs but potential to qualify.</w:t>
      </w:r>
    </w:p>
    <w:p>
      <w:pPr>
        <w:pStyle w:val="Compact"/>
        <w:numPr>
          <w:ilvl w:val="0"/>
          <w:numId w:val="1001"/>
        </w:numPr>
      </w:pPr>
      <w:r>
        <w:rPr>
          <w:i/>
          <w:iCs/>
        </w:rPr>
        <w:t xml:space="preserve">Optionality</w:t>
      </w:r>
      <w:r>
        <w:t xml:space="preserve"> </w:t>
      </w:r>
      <w:r>
        <w:t xml:space="preserve">– houses with ADU/in‑law conversion potential or mispriced estate sales offering renovation upside.</w:t>
      </w:r>
    </w:p>
    <w:p>
      <w:pPr>
        <w:pStyle w:val="Compact"/>
        <w:numPr>
          <w:ilvl w:val="0"/>
          <w:numId w:val="1001"/>
        </w:numPr>
      </w:pPr>
      <w:r>
        <w:rPr>
          <w:i/>
          <w:iCs/>
        </w:rPr>
        <w:t xml:space="preserve">Assumptions &amp; Risks</w:t>
      </w:r>
      <w:r>
        <w:t xml:space="preserve"> </w:t>
      </w:r>
      <w:r>
        <w:t xml:space="preserve">– renovation cost assumptions, rent uplift, expense ratio, financing details; risk factors such as permit requirements or structural issues.</w:t>
      </w:r>
    </w:p>
    <w:p>
      <w:pPr>
        <w:numPr>
          <w:ilvl w:val="0"/>
          <w:numId w:val="1001"/>
        </w:numPr>
      </w:pPr>
      <w:r>
        <w:rPr>
          <w:i/>
          <w:iCs/>
        </w:rPr>
        <w:t xml:space="preserve">Off‑Market Pipeline</w:t>
      </w:r>
      <w:r>
        <w:t xml:space="preserve"> </w:t>
      </w:r>
      <w:r>
        <w:t xml:space="preserve">– outlines how to identify dated homes (e.g., code‑violation lists, long tenure) and contact owners.</w:t>
      </w:r>
    </w:p>
    <w:p>
      <w:pPr>
        <w:numPr>
          <w:ilvl w:val="0"/>
          <w:numId w:val="1001"/>
        </w:numPr>
      </w:pPr>
      <w:r>
        <w:rPr>
          <w:b/>
          <w:bCs/>
        </w:rPr>
        <w:t xml:space="preserve">Small Multi‑Family Income</w:t>
      </w:r>
    </w:p>
    <w:p>
      <w:pPr>
        <w:pStyle w:val="Compact"/>
        <w:numPr>
          <w:ilvl w:val="0"/>
          <w:numId w:val="1001"/>
        </w:numPr>
      </w:pPr>
      <w:r>
        <w:rPr>
          <w:i/>
          <w:iCs/>
        </w:rPr>
        <w:t xml:space="preserve">Recommended Deals</w:t>
      </w:r>
      <w:r>
        <w:t xml:space="preserve"> </w:t>
      </w:r>
      <w:r>
        <w:t xml:space="preserve">– 2‑ to 4‑unit properties with entry cap rates ≥ 5.5 % and stable rent potential.</w:t>
      </w:r>
    </w:p>
    <w:p>
      <w:pPr>
        <w:pStyle w:val="Compact"/>
        <w:numPr>
          <w:ilvl w:val="0"/>
          <w:numId w:val="1001"/>
        </w:numPr>
      </w:pPr>
      <w:r>
        <w:rPr>
          <w:i/>
          <w:iCs/>
        </w:rPr>
        <w:t xml:space="preserve">Watchlist</w:t>
      </w:r>
      <w:r>
        <w:t xml:space="preserve"> </w:t>
      </w:r>
      <w:r>
        <w:t xml:space="preserve">– multifamily listings requiring additional due diligence on rents, condition or permits.</w:t>
      </w:r>
    </w:p>
    <w:p>
      <w:pPr>
        <w:pStyle w:val="Compact"/>
        <w:numPr>
          <w:ilvl w:val="0"/>
          <w:numId w:val="1001"/>
        </w:numPr>
      </w:pPr>
      <w:r>
        <w:rPr>
          <w:i/>
          <w:iCs/>
        </w:rPr>
        <w:t xml:space="preserve">Optionality</w:t>
      </w:r>
      <w:r>
        <w:t xml:space="preserve"> </w:t>
      </w:r>
      <w:r>
        <w:t xml:space="preserve">– multi‑family assets flagged for possible unit expansion or ADU addition (e.g., large lots, basements).</w:t>
      </w:r>
    </w:p>
    <w:p>
      <w:pPr>
        <w:pStyle w:val="Compact"/>
        <w:numPr>
          <w:ilvl w:val="0"/>
          <w:numId w:val="1001"/>
        </w:numPr>
      </w:pPr>
      <w:r>
        <w:rPr>
          <w:i/>
          <w:iCs/>
        </w:rPr>
        <w:t xml:space="preserve">Assumptions &amp; Risks</w:t>
      </w:r>
      <w:r>
        <w:t xml:space="preserve"> </w:t>
      </w:r>
      <w:r>
        <w:t xml:space="preserve">– multi‑family rent, expenses, tax treatment, vacancy, and financing assumptions; risk checklist (tenant turnover, code compliance).</w:t>
      </w:r>
    </w:p>
    <w:p>
      <w:pPr>
        <w:numPr>
          <w:ilvl w:val="0"/>
          <w:numId w:val="1001"/>
        </w:numPr>
      </w:pPr>
      <w:r>
        <w:rPr>
          <w:i/>
          <w:iCs/>
        </w:rPr>
        <w:t xml:space="preserve">Off‑Market Pipeline</w:t>
      </w:r>
      <w:r>
        <w:t xml:space="preserve"> </w:t>
      </w:r>
      <w:r>
        <w:t xml:space="preserve">– describes patterns to target absentee landlords and long‑held duplexes/triplexes using public records.</w:t>
      </w:r>
    </w:p>
    <w:p>
      <w:pPr>
        <w:numPr>
          <w:ilvl w:val="0"/>
          <w:numId w:val="1001"/>
        </w:numPr>
      </w:pPr>
      <w:r>
        <w:rPr>
          <w:b/>
          <w:bCs/>
        </w:rPr>
        <w:t xml:space="preserve">Development / Redevelopment</w:t>
      </w:r>
    </w:p>
    <w:p>
      <w:pPr>
        <w:pStyle w:val="Compact"/>
        <w:numPr>
          <w:ilvl w:val="0"/>
          <w:numId w:val="1001"/>
        </w:numPr>
      </w:pPr>
      <w:r>
        <w:rPr>
          <w:i/>
          <w:iCs/>
        </w:rPr>
        <w:t xml:space="preserve">Recommended Projects</w:t>
      </w:r>
      <w:r>
        <w:t xml:space="preserve"> </w:t>
      </w:r>
      <w:r>
        <w:t xml:space="preserve">– large lots or under‑improved sites with clear subdivision or redevelopment potential and projected returns &gt; 15 % IRR.</w:t>
      </w:r>
    </w:p>
    <w:p>
      <w:pPr>
        <w:pStyle w:val="Compact"/>
        <w:numPr>
          <w:ilvl w:val="0"/>
          <w:numId w:val="1001"/>
        </w:numPr>
      </w:pPr>
      <w:r>
        <w:rPr>
          <w:i/>
          <w:iCs/>
        </w:rPr>
        <w:t xml:space="preserve">Watchlist</w:t>
      </w:r>
      <w:r>
        <w:t xml:space="preserve"> </w:t>
      </w:r>
      <w:r>
        <w:t xml:space="preserve">– parcels requiring significant zoning or environmental due diligence before proceeding.</w:t>
      </w:r>
    </w:p>
    <w:p>
      <w:pPr>
        <w:pStyle w:val="Compact"/>
        <w:numPr>
          <w:ilvl w:val="0"/>
          <w:numId w:val="1001"/>
        </w:numPr>
      </w:pPr>
      <w:r>
        <w:rPr>
          <w:i/>
          <w:iCs/>
        </w:rPr>
        <w:t xml:space="preserve">Optionality</w:t>
      </w:r>
      <w:r>
        <w:t xml:space="preserve"> </w:t>
      </w:r>
      <w:r>
        <w:t xml:space="preserve">– residential lots meeting minimum frontage and size requirements for conversion into two units or cluster developments.</w:t>
      </w:r>
    </w:p>
    <w:p>
      <w:pPr>
        <w:pStyle w:val="Compact"/>
        <w:numPr>
          <w:ilvl w:val="0"/>
          <w:numId w:val="1001"/>
        </w:numPr>
      </w:pPr>
      <w:r>
        <w:rPr>
          <w:i/>
          <w:iCs/>
        </w:rPr>
        <w:t xml:space="preserve">Assumptions &amp; Risks</w:t>
      </w:r>
      <w:r>
        <w:t xml:space="preserve"> </w:t>
      </w:r>
      <w:r>
        <w:t xml:space="preserve">– construction costs, permit timelines, regulatory hurdles, exit pricing, financing terms.</w:t>
      </w:r>
    </w:p>
    <w:p>
      <w:pPr>
        <w:numPr>
          <w:ilvl w:val="0"/>
          <w:numId w:val="1001"/>
        </w:numPr>
      </w:pPr>
      <w:r>
        <w:rPr>
          <w:i/>
          <w:iCs/>
        </w:rPr>
        <w:t xml:space="preserve">Off‑Market Pipeline</w:t>
      </w:r>
      <w:r>
        <w:t xml:space="preserve"> </w:t>
      </w:r>
      <w:r>
        <w:t xml:space="preserve">– filters to find under‑improved land via assessor data and GIS overlays; outreach guidelines.</w:t>
      </w:r>
    </w:p>
    <w:p>
      <w:pPr>
        <w:numPr>
          <w:ilvl w:val="0"/>
          <w:numId w:val="1001"/>
        </w:numPr>
      </w:pPr>
      <w:r>
        <w:rPr>
          <w:b/>
          <w:bCs/>
        </w:rPr>
        <w:t xml:space="preserve">Creative / ADU / Unconventional</w:t>
      </w:r>
    </w:p>
    <w:p>
      <w:pPr>
        <w:pStyle w:val="Compact"/>
        <w:numPr>
          <w:ilvl w:val="0"/>
          <w:numId w:val="1001"/>
        </w:numPr>
      </w:pPr>
      <w:r>
        <w:rPr>
          <w:i/>
          <w:iCs/>
        </w:rPr>
        <w:t xml:space="preserve">Recommended Projects</w:t>
      </w:r>
      <w:r>
        <w:t xml:space="preserve"> </w:t>
      </w:r>
      <w:r>
        <w:t xml:space="preserve">– properties where adding an accessory dwelling unit yields ≥ 8 % stabilised cap rate.</w:t>
      </w:r>
    </w:p>
    <w:p>
      <w:pPr>
        <w:pStyle w:val="Compact"/>
        <w:numPr>
          <w:ilvl w:val="0"/>
          <w:numId w:val="1001"/>
        </w:numPr>
      </w:pPr>
      <w:r>
        <w:rPr>
          <w:i/>
          <w:iCs/>
        </w:rPr>
        <w:t xml:space="preserve">Watchlist</w:t>
      </w:r>
      <w:r>
        <w:t xml:space="preserve"> </w:t>
      </w:r>
      <w:r>
        <w:t xml:space="preserve">– assets requiring confirmation of ADU feasibility (e.g., sewer capacity, separate entrance, parking).</w:t>
      </w:r>
    </w:p>
    <w:p>
      <w:pPr>
        <w:pStyle w:val="Compact"/>
        <w:numPr>
          <w:ilvl w:val="0"/>
          <w:numId w:val="1001"/>
        </w:numPr>
      </w:pPr>
      <w:r>
        <w:rPr>
          <w:i/>
          <w:iCs/>
        </w:rPr>
        <w:t xml:space="preserve">Optionality</w:t>
      </w:r>
      <w:r>
        <w:t xml:space="preserve"> </w:t>
      </w:r>
      <w:r>
        <w:t xml:space="preserve">– homes with large yards, unfinished basements or carriage houses flagged via text analysis.</w:t>
      </w:r>
    </w:p>
    <w:p>
      <w:pPr>
        <w:pStyle w:val="Compact"/>
        <w:numPr>
          <w:ilvl w:val="0"/>
          <w:numId w:val="1001"/>
        </w:numPr>
      </w:pPr>
      <w:r>
        <w:rPr>
          <w:i/>
          <w:iCs/>
        </w:rPr>
        <w:t xml:space="preserve">Assumptions &amp; Risks</w:t>
      </w:r>
      <w:r>
        <w:t xml:space="preserve"> </w:t>
      </w:r>
      <w:r>
        <w:t xml:space="preserve">– ADU construction costs, rent assumptions, parking requirements, zoning compliance, and financing details.</w:t>
      </w:r>
    </w:p>
    <w:p>
      <w:pPr>
        <w:numPr>
          <w:ilvl w:val="0"/>
          <w:numId w:val="1001"/>
        </w:numPr>
      </w:pPr>
      <w:r>
        <w:rPr>
          <w:i/>
          <w:iCs/>
        </w:rPr>
        <w:t xml:space="preserve">Off‑Market Pipeline</w:t>
      </w:r>
      <w:r>
        <w:t xml:space="preserve"> </w:t>
      </w:r>
      <w:r>
        <w:t xml:space="preserve">– identifies owner‑occupied homes near transit with oversized lots and long tenure; provides outreach scripts for ADU education.</w:t>
      </w:r>
    </w:p>
    <w:p>
      <w:pPr>
        <w:numPr>
          <w:ilvl w:val="0"/>
          <w:numId w:val="1001"/>
        </w:numPr>
      </w:pPr>
      <w:r>
        <w:rPr>
          <w:b/>
          <w:bCs/>
        </w:rPr>
        <w:t xml:space="preserve">Data Upload &amp; Settings</w:t>
      </w:r>
      <w:r>
        <w:t xml:space="preserve"> </w:t>
      </w:r>
      <w:r>
        <w:t xml:space="preserve">– interface for uploading new MLS data files, adjusting global assumptions (rent curves, vacancy rates, expense ratios, tax rates, financing terms) and viewing import history.</w:t>
      </w:r>
    </w:p>
    <w:bookmarkEnd w:id="22"/>
    <w:bookmarkStart w:id="29" w:name="data-model"/>
    <w:p>
      <w:pPr>
        <w:pStyle w:val="Heading2"/>
      </w:pPr>
      <w:r>
        <w:t xml:space="preserve">2 Data Model</w:t>
      </w:r>
    </w:p>
    <w:p>
      <w:pPr>
        <w:pStyle w:val="FirstParagraph"/>
      </w:pPr>
      <w:r>
        <w:t xml:space="preserve">The backend database maintains several normalized tables to support computation and display:</w:t>
      </w:r>
    </w:p>
    <w:bookmarkStart w:id="23" w:name="mlslistings"/>
    <w:p>
      <w:pPr>
        <w:pStyle w:val="Heading3"/>
      </w:pPr>
      <w:r>
        <w:t xml:space="preserve">2.1 </w:t>
      </w:r>
      <w:r>
        <w:rPr>
          <w:rStyle w:val="VerbatimChar"/>
        </w:rPr>
        <w:t xml:space="preserve">MLSListings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Primary Key</w:t>
            </w:r>
          </w:p>
        </w:tc>
        <w:tc>
          <w:tcPr/>
          <w:p>
            <w:pPr>
              <w:pStyle w:val="Compact"/>
            </w:pPr>
            <w:r>
              <w:t xml:space="preserve">Unique identifier in the app database.</w:t>
            </w:r>
          </w:p>
        </w:tc>
      </w:tr>
      <w:tr>
        <w:tc>
          <w:tcPr/>
          <w:p>
            <w:pPr>
              <w:pStyle w:val="Compact"/>
            </w:pPr>
            <w:r>
              <w:rPr>
                <w:rStyle w:val="VerbatimChar"/>
              </w:rPr>
              <w:t xml:space="preserve">mls_num</w:t>
            </w:r>
          </w:p>
        </w:tc>
        <w:tc>
          <w:tcPr/>
          <w:p>
            <w:pPr>
              <w:pStyle w:val="Compact"/>
            </w:pPr>
            <w:r>
              <w:t xml:space="preserve">String</w:t>
            </w:r>
          </w:p>
        </w:tc>
        <w:tc>
          <w:tcPr/>
          <w:p>
            <w:pPr>
              <w:pStyle w:val="Compact"/>
            </w:pPr>
            <w:r>
              <w:t xml:space="preserve">MLS listing number.</w:t>
            </w:r>
          </w:p>
        </w:tc>
      </w:tr>
      <w:tr>
        <w:tc>
          <w:tcPr/>
          <w:p>
            <w:pPr>
              <w:pStyle w:val="Compact"/>
            </w:pPr>
            <w:r>
              <w:rPr>
                <w:rStyle w:val="VerbatimChar"/>
              </w:rPr>
              <w:t xml:space="preserve">address</w:t>
            </w:r>
          </w:p>
        </w:tc>
        <w:tc>
          <w:tcPr/>
          <w:p>
            <w:pPr>
              <w:pStyle w:val="Compact"/>
            </w:pPr>
            <w:r>
              <w:t xml:space="preserve">String</w:t>
            </w:r>
          </w:p>
        </w:tc>
        <w:tc>
          <w:tcPr/>
          <w:p>
            <w:pPr>
              <w:pStyle w:val="Compact"/>
            </w:pPr>
            <w:r>
              <w:t xml:space="preserve">Street address.</w:t>
            </w:r>
          </w:p>
        </w:tc>
      </w:tr>
      <w:tr>
        <w:tc>
          <w:tcPr/>
          <w:p>
            <w:pPr>
              <w:pStyle w:val="Compact"/>
            </w:pP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zip</w:t>
            </w:r>
          </w:p>
        </w:tc>
        <w:tc>
          <w:tcPr/>
          <w:p>
            <w:pPr>
              <w:pStyle w:val="Compact"/>
            </w:pPr>
            <w:r>
              <w:t xml:space="preserve">String</w:t>
            </w:r>
          </w:p>
        </w:tc>
        <w:tc>
          <w:tcPr/>
          <w:p>
            <w:pPr>
              <w:pStyle w:val="Compact"/>
            </w:pPr>
            <w:r>
              <w:t xml:space="preserve">Location fields.</w:t>
            </w:r>
          </w:p>
        </w:tc>
      </w:tr>
      <w:tr>
        <w:tc>
          <w:tcPr/>
          <w:p>
            <w:pPr>
              <w:pStyle w:val="Compact"/>
            </w:pPr>
            <w:r>
              <w:rPr>
                <w:rStyle w:val="VerbatimChar"/>
              </w:rPr>
              <w:t xml:space="preserve">property_type</w:t>
            </w:r>
          </w:p>
        </w:tc>
        <w:tc>
          <w:tcPr/>
          <w:p>
            <w:pPr>
              <w:pStyle w:val="Compact"/>
            </w:pPr>
            <w:r>
              <w:t xml:space="preserve">Enum</w:t>
            </w:r>
          </w:p>
        </w:tc>
        <w:tc>
          <w:tcPr/>
          <w:p>
            <w:pPr>
              <w:pStyle w:val="Compact"/>
            </w:pPr>
            <w:r>
              <w:t xml:space="preserve">Raw MLS property type (SF, MF, CC, RN).</w:t>
            </w:r>
          </w:p>
        </w:tc>
      </w:tr>
      <w:tr>
        <w:tc>
          <w:tcPr/>
          <w:p>
            <w:pPr>
              <w:pStyle w:val="Compact"/>
            </w:pPr>
            <w:r>
              <w:rPr>
                <w:rStyle w:val="VerbatimChar"/>
              </w:rPr>
              <w:t xml:space="preserve">list_price</w:t>
            </w:r>
          </w:p>
        </w:tc>
        <w:tc>
          <w:tcPr/>
          <w:p>
            <w:pPr>
              <w:pStyle w:val="Compact"/>
            </w:pPr>
            <w:r>
              <w:t xml:space="preserve">Numeric</w:t>
            </w:r>
          </w:p>
        </w:tc>
        <w:tc>
          <w:tcPr/>
          <w:p>
            <w:pPr>
              <w:pStyle w:val="Compact"/>
            </w:pPr>
            <w:r>
              <w:t xml:space="preserve">Asking price.</w:t>
            </w:r>
          </w:p>
        </w:tc>
      </w:tr>
      <w:tr>
        <w:tc>
          <w:tcPr/>
          <w:p>
            <w:pPr>
              <w:pStyle w:val="Compact"/>
            </w:pPr>
            <w:r>
              <w:rPr>
                <w:rStyle w:val="VerbatimChar"/>
              </w:rPr>
              <w:t xml:space="preserve">beds</w:t>
            </w:r>
          </w:p>
        </w:tc>
        <w:tc>
          <w:tcPr/>
          <w:p>
            <w:pPr>
              <w:pStyle w:val="Compact"/>
            </w:pPr>
            <w:r>
              <w:t xml:space="preserve">Integer</w:t>
            </w:r>
          </w:p>
        </w:tc>
        <w:tc>
          <w:tcPr/>
          <w:p>
            <w:pPr>
              <w:pStyle w:val="Compact"/>
            </w:pPr>
            <w:r>
              <w:t xml:space="preserve">Bedrooms.</w:t>
            </w:r>
          </w:p>
        </w:tc>
      </w:tr>
      <w:tr>
        <w:tc>
          <w:tcPr/>
          <w:p>
            <w:pPr>
              <w:pStyle w:val="Compact"/>
            </w:pPr>
            <w:r>
              <w:rPr>
                <w:rStyle w:val="VerbatimChar"/>
              </w:rPr>
              <w:t xml:space="preserve">baths</w:t>
            </w:r>
          </w:p>
        </w:tc>
        <w:tc>
          <w:tcPr/>
          <w:p>
            <w:pPr>
              <w:pStyle w:val="Compact"/>
            </w:pPr>
            <w:r>
              <w:t xml:space="preserve">Numeric</w:t>
            </w:r>
          </w:p>
        </w:tc>
        <w:tc>
          <w:tcPr/>
          <w:p>
            <w:pPr>
              <w:pStyle w:val="Compact"/>
            </w:pPr>
            <w:r>
              <w:t xml:space="preserve">Bathrooms.</w:t>
            </w:r>
          </w:p>
        </w:tc>
      </w:tr>
      <w:tr>
        <w:tc>
          <w:tcPr/>
          <w:p>
            <w:pPr>
              <w:pStyle w:val="Compact"/>
            </w:pPr>
            <w:r>
              <w:rPr>
                <w:rStyle w:val="VerbatimChar"/>
              </w:rPr>
              <w:t xml:space="preserve">sqft</w:t>
            </w:r>
          </w:p>
        </w:tc>
        <w:tc>
          <w:tcPr/>
          <w:p>
            <w:pPr>
              <w:pStyle w:val="Compact"/>
            </w:pPr>
            <w:r>
              <w:t xml:space="preserve">Numeric</w:t>
            </w:r>
          </w:p>
        </w:tc>
        <w:tc>
          <w:tcPr/>
          <w:p>
            <w:pPr>
              <w:pStyle w:val="Compact"/>
            </w:pPr>
            <w:r>
              <w:t xml:space="preserve">Living area in square feet.</w:t>
            </w:r>
          </w:p>
        </w:tc>
      </w:tr>
      <w:tr>
        <w:tc>
          <w:tcPr/>
          <w:p>
            <w:pPr>
              <w:pStyle w:val="Compact"/>
            </w:pPr>
            <w:r>
              <w:rPr>
                <w:rStyle w:val="VerbatimChar"/>
              </w:rPr>
              <w:t xml:space="preserve">lot_size_raw</w:t>
            </w:r>
          </w:p>
        </w:tc>
        <w:tc>
          <w:tcPr/>
          <w:p>
            <w:pPr>
              <w:pStyle w:val="Compact"/>
            </w:pPr>
            <w:r>
              <w:t xml:space="preserve">String</w:t>
            </w:r>
          </w:p>
        </w:tc>
        <w:tc>
          <w:tcPr/>
          <w:p>
            <w:pPr>
              <w:pStyle w:val="Compact"/>
            </w:pPr>
            <w:r>
              <w:t xml:space="preserve">Original lot size text from MLS (for parsing).</w:t>
            </w:r>
          </w:p>
        </w:tc>
      </w:tr>
      <w:tr>
        <w:tc>
          <w:tcPr/>
          <w:p>
            <w:pPr>
              <w:pStyle w:val="Compact"/>
            </w:pPr>
            <w:r>
              <w:rPr>
                <w:rStyle w:val="VerbatimChar"/>
              </w:rPr>
              <w:t xml:space="preserve">lot_acres</w:t>
            </w:r>
          </w:p>
        </w:tc>
        <w:tc>
          <w:tcPr/>
          <w:p>
            <w:pPr>
              <w:pStyle w:val="Compact"/>
            </w:pPr>
            <w:r>
              <w:t xml:space="preserve">Numeric</w:t>
            </w:r>
          </w:p>
        </w:tc>
        <w:tc>
          <w:tcPr/>
          <w:p>
            <w:pPr>
              <w:pStyle w:val="Compact"/>
            </w:pPr>
            <w:r>
              <w:t xml:space="preserve">Computed lot size in acres.</w:t>
            </w:r>
          </w:p>
        </w:tc>
      </w:tr>
      <w:tr>
        <w:tc>
          <w:tcPr/>
          <w:p>
            <w:pPr>
              <w:pStyle w:val="Compact"/>
            </w:pPr>
            <w:r>
              <w:rPr>
                <w:rStyle w:val="VerbatimChar"/>
              </w:rPr>
              <w:t xml:space="preserve">list_date</w:t>
            </w:r>
          </w:p>
        </w:tc>
        <w:tc>
          <w:tcPr/>
          <w:p>
            <w:pPr>
              <w:pStyle w:val="Compact"/>
            </w:pPr>
            <w:r>
              <w:t xml:space="preserve">Date</w:t>
            </w:r>
          </w:p>
        </w:tc>
        <w:tc>
          <w:tcPr/>
          <w:p>
            <w:pPr>
              <w:pStyle w:val="Compact"/>
            </w:pPr>
            <w:r>
              <w:t xml:space="preserve">Date listed.</w:t>
            </w:r>
          </w:p>
        </w:tc>
      </w:tr>
      <w:tr>
        <w:tc>
          <w:tcPr/>
          <w:p>
            <w:pPr>
              <w:pStyle w:val="Compact"/>
            </w:pPr>
            <w:r>
              <w:rPr>
                <w:rStyle w:val="VerbatimChar"/>
              </w:rPr>
              <w:t xml:space="preserve">sale_date</w:t>
            </w:r>
          </w:p>
        </w:tc>
        <w:tc>
          <w:tcPr/>
          <w:p>
            <w:pPr>
              <w:pStyle w:val="Compact"/>
            </w:pPr>
            <w:r>
              <w:t xml:space="preserve">Date</w:t>
            </w:r>
          </w:p>
        </w:tc>
        <w:tc>
          <w:tcPr/>
          <w:p>
            <w:pPr>
              <w:pStyle w:val="Compact"/>
            </w:pPr>
            <w:r>
              <w:t xml:space="preserve">Sale close date (if sold).</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Standardised status (ACT, UAG, SLD, CAN, EXP).</w:t>
            </w:r>
          </w:p>
        </w:tc>
      </w:tr>
      <w:tr>
        <w:tc>
          <w:tcPr/>
          <w:p>
            <w:pPr>
              <w:pStyle w:val="Compact"/>
            </w:pPr>
            <w:r>
              <w:rPr>
                <w:rStyle w:val="VerbatimChar"/>
              </w:rPr>
              <w:t xml:space="preserve">year_built</w:t>
            </w:r>
          </w:p>
        </w:tc>
        <w:tc>
          <w:tcPr/>
          <w:p>
            <w:pPr>
              <w:pStyle w:val="Compact"/>
            </w:pPr>
            <w:r>
              <w:t xml:space="preserve">Integer</w:t>
            </w:r>
          </w:p>
        </w:tc>
        <w:tc>
          <w:tcPr/>
          <w:p>
            <w:pPr>
              <w:pStyle w:val="Compact"/>
            </w:pPr>
            <w:r>
              <w:t xml:space="preserve">Built year.</w:t>
            </w:r>
          </w:p>
        </w:tc>
      </w:tr>
      <w:tr>
        <w:tc>
          <w:tcPr/>
          <w:p>
            <w:pPr>
              <w:pStyle w:val="Compact"/>
            </w:pPr>
            <w:r>
              <w:rPr>
                <w:rStyle w:val="VerbatimChar"/>
              </w:rPr>
              <w:t xml:space="preserve">remarks</w:t>
            </w:r>
          </w:p>
        </w:tc>
        <w:tc>
          <w:tcPr/>
          <w:p>
            <w:pPr>
              <w:pStyle w:val="Compact"/>
            </w:pPr>
            <w:r>
              <w:t xml:space="preserve">Text</w:t>
            </w:r>
          </w:p>
        </w:tc>
        <w:tc>
          <w:tcPr/>
          <w:p>
            <w:pPr>
              <w:pStyle w:val="Compact"/>
            </w:pPr>
            <w:r>
              <w:t xml:space="preserve">MLS remarks/description.</w:t>
            </w:r>
          </w:p>
        </w:tc>
      </w:tr>
      <w:tr>
        <w:tc>
          <w:tcPr/>
          <w:p>
            <w:pPr>
              <w:pStyle w:val="Compact"/>
            </w:pPr>
            <w:r>
              <w:rPr>
                <w:rStyle w:val="VerbatimChar"/>
              </w:rPr>
              <w:t xml:space="preserve">source_file</w:t>
            </w:r>
          </w:p>
        </w:tc>
        <w:tc>
          <w:tcPr/>
          <w:p>
            <w:pPr>
              <w:pStyle w:val="Compact"/>
            </w:pPr>
            <w:r>
              <w:t xml:space="preserve">String</w:t>
            </w:r>
          </w:p>
        </w:tc>
        <w:tc>
          <w:tcPr/>
          <w:p>
            <w:pPr>
              <w:pStyle w:val="Compact"/>
            </w:pPr>
            <w:r>
              <w:t xml:space="preserve">Name of uploaded file for traceability.</w:t>
            </w:r>
          </w:p>
        </w:tc>
      </w:tr>
    </w:tbl>
    <w:bookmarkEnd w:id="23"/>
    <w:bookmarkStart w:id="24" w:name="derivedmetrics"/>
    <w:p>
      <w:pPr>
        <w:pStyle w:val="Heading3"/>
      </w:pPr>
      <w:r>
        <w:t xml:space="preserve">2.2 </w:t>
      </w:r>
      <w:r>
        <w:rPr>
          <w:rStyle w:val="VerbatimChar"/>
        </w:rPr>
        <w:t xml:space="preserve">DerivedMetrics</w:t>
      </w:r>
    </w:p>
    <w:p>
      <w:pPr>
        <w:pStyle w:val="FirstParagraph"/>
      </w:pPr>
      <w:r>
        <w:t xml:space="preserve">Stores calculations tied to each listing.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listing_id</w:t>
            </w:r>
          </w:p>
        </w:tc>
        <w:tc>
          <w:tcPr/>
          <w:p>
            <w:pPr>
              <w:pStyle w:val="Compact"/>
            </w:pPr>
            <w:r>
              <w:t xml:space="preserve">Foreign Key to</w:t>
            </w:r>
            <w:r>
              <w:t xml:space="preserve"> </w:t>
            </w:r>
            <w:r>
              <w:rPr>
                <w:rStyle w:val="VerbatimChar"/>
              </w:rPr>
              <w:t xml:space="preserve">MLSListings</w:t>
            </w:r>
          </w:p>
        </w:tc>
        <w:tc>
          <w:tcPr/>
          <w:p>
            <w:pPr>
              <w:pStyle w:val="Compact"/>
            </w:pPr>
            <w:r>
              <w:t xml:space="preserve">Identifies the listing.</w:t>
            </w:r>
          </w:p>
        </w:tc>
      </w:tr>
      <w:tr>
        <w:tc>
          <w:tcPr/>
          <w:p>
            <w:pPr>
              <w:pStyle w:val="Compact"/>
            </w:pPr>
            <w:r>
              <w:rPr>
                <w:rStyle w:val="VerbatimChar"/>
              </w:rPr>
              <w:t xml:space="preserve">dom_reported</w:t>
            </w:r>
          </w:p>
        </w:tc>
        <w:tc>
          <w:tcPr/>
          <w:p>
            <w:pPr>
              <w:pStyle w:val="Compact"/>
            </w:pPr>
            <w:r>
              <w:t xml:space="preserve">Integer</w:t>
            </w:r>
          </w:p>
        </w:tc>
        <w:tc>
          <w:tcPr/>
          <w:p>
            <w:pPr>
              <w:pStyle w:val="Compact"/>
            </w:pPr>
            <w:r>
              <w:t xml:space="preserve">Days on market from MLS.</w:t>
            </w:r>
          </w:p>
        </w:tc>
      </w:tr>
      <w:tr>
        <w:tc>
          <w:tcPr/>
          <w:p>
            <w:pPr>
              <w:pStyle w:val="Compact"/>
            </w:pPr>
            <w:r>
              <w:rPr>
                <w:rStyle w:val="VerbatimChar"/>
              </w:rPr>
              <w:t xml:space="preserve">dom_calculated</w:t>
            </w:r>
          </w:p>
        </w:tc>
        <w:tc>
          <w:tcPr/>
          <w:p>
            <w:pPr>
              <w:pStyle w:val="Compact"/>
            </w:pPr>
            <w:r>
              <w:t xml:space="preserve">Integer</w:t>
            </w:r>
          </w:p>
        </w:tc>
        <w:tc>
          <w:tcPr/>
          <w:p>
            <w:pPr>
              <w:pStyle w:val="Compact"/>
            </w:pPr>
            <w:r>
              <w:t xml:space="preserve">Calculated days between listing and sale date.</w:t>
            </w:r>
          </w:p>
        </w:tc>
      </w:tr>
      <w:tr>
        <w:tc>
          <w:tcPr/>
          <w:p>
            <w:pPr>
              <w:pStyle w:val="Compact"/>
            </w:pPr>
            <w:r>
              <w:rPr>
                <w:rStyle w:val="VerbatimChar"/>
              </w:rPr>
              <w:t xml:space="preserve">price_per_sqft</w:t>
            </w:r>
          </w:p>
        </w:tc>
        <w:tc>
          <w:tcPr/>
          <w:p>
            <w:pPr>
              <w:pStyle w:val="Compact"/>
            </w:pPr>
            <w:r>
              <w:t xml:space="preserve">Numeric</w:t>
            </w:r>
          </w:p>
        </w:tc>
        <w:tc>
          <w:tcPr/>
          <w:p>
            <w:pPr>
              <w:pStyle w:val="Compact"/>
            </w:pPr>
            <w:r>
              <w:t xml:space="preserve">List or sale price divided by square footage.</w:t>
            </w:r>
          </w:p>
        </w:tc>
      </w:tr>
      <w:tr>
        <w:tc>
          <w:tcPr/>
          <w:p>
            <w:pPr>
              <w:pStyle w:val="Compact"/>
            </w:pPr>
            <w:r>
              <w:rPr>
                <w:rStyle w:val="VerbatimChar"/>
              </w:rPr>
              <w:t xml:space="preserve">age</w:t>
            </w:r>
          </w:p>
        </w:tc>
        <w:tc>
          <w:tcPr/>
          <w:p>
            <w:pPr>
              <w:pStyle w:val="Compact"/>
            </w:pPr>
            <w:r>
              <w:t xml:space="preserve">Integer</w:t>
            </w:r>
          </w:p>
        </w:tc>
        <w:tc>
          <w:tcPr/>
          <w:p>
            <w:pPr>
              <w:pStyle w:val="Compact"/>
            </w:pPr>
            <w:r>
              <w:t xml:space="preserve">Age of property (current year minus built year).</w:t>
            </w:r>
          </w:p>
        </w:tc>
      </w:tr>
      <w:tr>
        <w:tc>
          <w:tcPr/>
          <w:p>
            <w:pPr>
              <w:pStyle w:val="Compact"/>
            </w:pPr>
            <w:r>
              <w:rPr>
                <w:rStyle w:val="VerbatimChar"/>
              </w:rPr>
              <w:t xml:space="preserve">sale_year</w:t>
            </w:r>
          </w:p>
        </w:tc>
        <w:tc>
          <w:tcPr/>
          <w:p>
            <w:pPr>
              <w:pStyle w:val="Compact"/>
            </w:pPr>
            <w:r>
              <w:t xml:space="preserve">Integer</w:t>
            </w:r>
          </w:p>
        </w:tc>
        <w:tc>
          <w:tcPr/>
          <w:p>
            <w:pPr>
              <w:pStyle w:val="Compact"/>
            </w:pPr>
            <w:r>
              <w:t xml:space="preserve">Year of sale or listing if unsold.</w:t>
            </w:r>
          </w:p>
        </w:tc>
      </w:tr>
      <w:tr>
        <w:tc>
          <w:tcPr/>
          <w:p>
            <w:pPr>
              <w:pStyle w:val="Compact"/>
            </w:pPr>
            <w:r>
              <w:rPr>
                <w:rStyle w:val="VerbatimChar"/>
              </w:rPr>
              <w:t xml:space="preserve">property_category</w:t>
            </w:r>
          </w:p>
        </w:tc>
        <w:tc>
          <w:tcPr/>
          <w:p>
            <w:pPr>
              <w:pStyle w:val="Compact"/>
            </w:pPr>
            <w:r>
              <w:t xml:space="preserve">Enum</w:t>
            </w:r>
          </w:p>
        </w:tc>
        <w:tc>
          <w:tcPr/>
          <w:p>
            <w:pPr>
              <w:pStyle w:val="Compact"/>
            </w:pPr>
            <w:r>
              <w:t xml:space="preserve">Standardised category (SF, MF, CC, RN).</w:t>
            </w:r>
          </w:p>
        </w:tc>
      </w:tr>
      <w:tr>
        <w:tc>
          <w:tcPr/>
          <w:p>
            <w:pPr>
              <w:pStyle w:val="Compact"/>
            </w:pPr>
            <w:r>
              <w:rPr>
                <w:rStyle w:val="VerbatimChar"/>
              </w:rPr>
              <w:t xml:space="preserve">optional_tags</w:t>
            </w:r>
          </w:p>
        </w:tc>
        <w:tc>
          <w:tcPr/>
          <w:p>
            <w:pPr>
              <w:pStyle w:val="Compact"/>
            </w:pPr>
            <w:r>
              <w:t xml:space="preserve">JSON</w:t>
            </w:r>
          </w:p>
        </w:tc>
        <w:tc>
          <w:tcPr/>
          <w:p>
            <w:pPr>
              <w:pStyle w:val="Compact"/>
            </w:pPr>
            <w:r>
              <w:t xml:space="preserve">Array of optionality flags detected in remarks and data (e.g.,</w:t>
            </w:r>
            <w:r>
              <w:t xml:space="preserve"> </w:t>
            </w:r>
            <w:r>
              <w:rPr>
                <w:rStyle w:val="VerbatimChar"/>
              </w:rPr>
              <w:t xml:space="preserve">"inlaw_potential"</w:t>
            </w:r>
            <w:r>
              <w:t xml:space="preserve">,</w:t>
            </w:r>
            <w:r>
              <w:t xml:space="preserve"> </w:t>
            </w:r>
            <w:r>
              <w:rPr>
                <w:rStyle w:val="VerbatimChar"/>
              </w:rPr>
              <w:t xml:space="preserve">"large_lot"</w:t>
            </w:r>
            <w:r>
              <w:t xml:space="preserve">,</w:t>
            </w:r>
            <w:r>
              <w:t xml:space="preserve"> </w:t>
            </w:r>
            <w:r>
              <w:rPr>
                <w:rStyle w:val="VerbatimChar"/>
              </w:rPr>
              <w:t xml:space="preserve">"mispriced"</w:t>
            </w:r>
            <w:r>
              <w:t xml:space="preserve">).</w:t>
            </w:r>
          </w:p>
        </w:tc>
      </w:tr>
      <w:tr>
        <w:tc>
          <w:tcPr/>
          <w:p>
            <w:pPr>
              <w:pStyle w:val="Compact"/>
            </w:pPr>
            <w:r>
              <w:rPr>
                <w:rStyle w:val="VerbatimChar"/>
              </w:rPr>
              <w:t xml:space="preserve">strategy_classification</w:t>
            </w:r>
          </w:p>
        </w:tc>
        <w:tc>
          <w:tcPr/>
          <w:p>
            <w:pPr>
              <w:pStyle w:val="Compact"/>
            </w:pPr>
            <w:r>
              <w:t xml:space="preserve">Enum</w:t>
            </w:r>
          </w:p>
        </w:tc>
        <w:tc>
          <w:tcPr/>
          <w:p>
            <w:pPr>
              <w:pStyle w:val="Compact"/>
            </w:pPr>
            <w:r>
              <w:t xml:space="preserve">Primary strategy tab classification assigned by screening logic.</w:t>
            </w:r>
          </w:p>
        </w:tc>
      </w:tr>
      <w:tr>
        <w:tc>
          <w:tcPr/>
          <w:p>
            <w:pPr>
              <w:pStyle w:val="Compact"/>
            </w:pPr>
            <w:r>
              <w:rPr>
                <w:rStyle w:val="VerbatimChar"/>
              </w:rPr>
              <w:t xml:space="preserve">deal_status</w:t>
            </w:r>
          </w:p>
        </w:tc>
        <w:tc>
          <w:tcPr/>
          <w:p>
            <w:pPr>
              <w:pStyle w:val="Compact"/>
            </w:pPr>
            <w:r>
              <w:t xml:space="preserve">Enum</w:t>
            </w:r>
          </w:p>
        </w:tc>
        <w:tc>
          <w:tcPr/>
          <w:p>
            <w:pPr>
              <w:pStyle w:val="Compact"/>
            </w:pPr>
            <w:r>
              <w:t xml:space="preserve">Outcome of screening:</w:t>
            </w:r>
            <w:r>
              <w:t xml:space="preserve"> </w:t>
            </w:r>
            <w:r>
              <w:rPr>
                <w:rStyle w:val="VerbatimChar"/>
              </w:rPr>
              <w:t xml:space="preserve">recommended</w:t>
            </w:r>
            <w:r>
              <w:t xml:space="preserve">,</w:t>
            </w:r>
            <w:r>
              <w:t xml:space="preserve"> </w:t>
            </w:r>
            <w:r>
              <w:rPr>
                <w:rStyle w:val="VerbatimChar"/>
              </w:rPr>
              <w:t xml:space="preserve">watchlist</w:t>
            </w:r>
            <w:r>
              <w:t xml:space="preserve">, or</w:t>
            </w:r>
            <w:r>
              <w:t xml:space="preserve"> </w:t>
            </w:r>
            <w:r>
              <w:rPr>
                <w:rStyle w:val="VerbatimChar"/>
              </w:rPr>
              <w:t xml:space="preserve">none</w:t>
            </w:r>
            <w:r>
              <w:t xml:space="preserve">.</w:t>
            </w:r>
          </w:p>
        </w:tc>
      </w:tr>
    </w:tbl>
    <w:bookmarkEnd w:id="24"/>
    <w:bookmarkStart w:id="25" w:name="assumptions"/>
    <w:p>
      <w:pPr>
        <w:pStyle w:val="Heading3"/>
      </w:pPr>
      <w:r>
        <w:t xml:space="preserve">2.3 </w:t>
      </w:r>
      <w:r>
        <w:rPr>
          <w:rStyle w:val="VerbatimChar"/>
        </w:rPr>
        <w:t xml:space="preserve">Assumptions</w:t>
      </w:r>
    </w:p>
    <w:p>
      <w:pPr>
        <w:pStyle w:val="FirstParagraph"/>
      </w:pPr>
      <w:r>
        <w:t xml:space="preserve">Holds underwriting assumptions by scenario and property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scenario</w:t>
            </w:r>
          </w:p>
        </w:tc>
        <w:tc>
          <w:tcPr/>
          <w:p>
            <w:pPr>
              <w:pStyle w:val="Compact"/>
            </w:pPr>
            <w:r>
              <w:t xml:space="preserve">Enum</w:t>
            </w:r>
          </w:p>
        </w:tc>
        <w:tc>
          <w:tcPr/>
          <w:p>
            <w:pPr>
              <w:pStyle w:val="Compact"/>
            </w:pPr>
            <w:r>
              <w:t xml:space="preserve">Conservative, Balanced, Growth (user selectable).</w:t>
            </w:r>
          </w:p>
        </w:tc>
      </w:tr>
      <w:tr>
        <w:tc>
          <w:tcPr/>
          <w:p>
            <w:pPr>
              <w:pStyle w:val="Compact"/>
            </w:pPr>
            <w:r>
              <w:rPr>
                <w:rStyle w:val="VerbatimChar"/>
              </w:rPr>
              <w:t xml:space="preserve">property_category</w:t>
            </w:r>
          </w:p>
        </w:tc>
        <w:tc>
          <w:tcPr/>
          <w:p>
            <w:pPr>
              <w:pStyle w:val="Compact"/>
            </w:pPr>
            <w:r>
              <w:t xml:space="preserve">Enum</w:t>
            </w:r>
          </w:p>
        </w:tc>
        <w:tc>
          <w:tcPr/>
          <w:p>
            <w:pPr>
              <w:pStyle w:val="Compact"/>
            </w:pPr>
            <w:r>
              <w:t xml:space="preserve">SF, MF, CC.</w:t>
            </w:r>
          </w:p>
        </w:tc>
      </w:tr>
      <w:tr>
        <w:tc>
          <w:tcPr/>
          <w:p>
            <w:pPr>
              <w:pStyle w:val="Compact"/>
            </w:pPr>
            <w:r>
              <w:rPr>
                <w:rStyle w:val="VerbatimChar"/>
              </w:rPr>
              <w:t xml:space="preserve">bedrooms</w:t>
            </w:r>
          </w:p>
        </w:tc>
        <w:tc>
          <w:tcPr/>
          <w:p>
            <w:pPr>
              <w:pStyle w:val="Compact"/>
            </w:pPr>
            <w:r>
              <w:t xml:space="preserve">Integer</w:t>
            </w:r>
          </w:p>
        </w:tc>
        <w:tc>
          <w:tcPr/>
          <w:p>
            <w:pPr>
              <w:pStyle w:val="Compact"/>
            </w:pPr>
            <w:r>
              <w:t xml:space="preserve">Bedroom count (for rent assumptions).</w:t>
            </w:r>
          </w:p>
        </w:tc>
      </w:tr>
      <w:tr>
        <w:tc>
          <w:tcPr/>
          <w:p>
            <w:pPr>
              <w:pStyle w:val="Compact"/>
            </w:pPr>
            <w:r>
              <w:rPr>
                <w:rStyle w:val="VerbatimChar"/>
              </w:rPr>
              <w:t xml:space="preserve">estimated_rent</w:t>
            </w:r>
          </w:p>
        </w:tc>
        <w:tc>
          <w:tcPr/>
          <w:p>
            <w:pPr>
              <w:pStyle w:val="Compact"/>
            </w:pPr>
            <w:r>
              <w:t xml:space="preserve">Numeric</w:t>
            </w:r>
          </w:p>
        </w:tc>
        <w:tc>
          <w:tcPr/>
          <w:p>
            <w:pPr>
              <w:pStyle w:val="Compact"/>
            </w:pPr>
            <w:r>
              <w:t xml:space="preserve">Monthly rent per unit under this scenario.</w:t>
            </w:r>
          </w:p>
        </w:tc>
      </w:tr>
      <w:tr>
        <w:tc>
          <w:tcPr/>
          <w:p>
            <w:pPr>
              <w:pStyle w:val="Compact"/>
            </w:pPr>
            <w:r>
              <w:rPr>
                <w:rStyle w:val="VerbatimChar"/>
              </w:rPr>
              <w:t xml:space="preserve">expense_ratio</w:t>
            </w:r>
          </w:p>
        </w:tc>
        <w:tc>
          <w:tcPr/>
          <w:p>
            <w:pPr>
              <w:pStyle w:val="Compact"/>
            </w:pPr>
            <w:r>
              <w:t xml:space="preserve">Numeric</w:t>
            </w:r>
          </w:p>
        </w:tc>
        <w:tc>
          <w:tcPr/>
          <w:p>
            <w:pPr>
              <w:pStyle w:val="Compact"/>
            </w:pPr>
            <w:r>
              <w:t xml:space="preserve">Operating expenses as a fraction of gross rent.</w:t>
            </w:r>
          </w:p>
        </w:tc>
      </w:tr>
      <w:tr>
        <w:tc>
          <w:tcPr/>
          <w:p>
            <w:pPr>
              <w:pStyle w:val="Compact"/>
            </w:pPr>
            <w:r>
              <w:rPr>
                <w:rStyle w:val="VerbatimChar"/>
              </w:rPr>
              <w:t xml:space="preserve">vacancy_rate</w:t>
            </w:r>
          </w:p>
        </w:tc>
        <w:tc>
          <w:tcPr/>
          <w:p>
            <w:pPr>
              <w:pStyle w:val="Compact"/>
            </w:pPr>
            <w:r>
              <w:t xml:space="preserve">Numeric</w:t>
            </w:r>
          </w:p>
        </w:tc>
        <w:tc>
          <w:tcPr/>
          <w:p>
            <w:pPr>
              <w:pStyle w:val="Compact"/>
            </w:pPr>
            <w:r>
              <w:t xml:space="preserve">Vacancy allowance.</w:t>
            </w:r>
          </w:p>
        </w:tc>
      </w:tr>
      <w:tr>
        <w:tc>
          <w:tcPr/>
          <w:p>
            <w:pPr>
              <w:pStyle w:val="Compact"/>
            </w:pPr>
            <w:r>
              <w:rPr>
                <w:rStyle w:val="VerbatimChar"/>
              </w:rPr>
              <w:t xml:space="preserve">tax_rate</w:t>
            </w:r>
          </w:p>
        </w:tc>
        <w:tc>
          <w:tcPr/>
          <w:p>
            <w:pPr>
              <w:pStyle w:val="Compact"/>
            </w:pPr>
            <w:r>
              <w:t xml:space="preserve">Numeric</w:t>
            </w:r>
          </w:p>
        </w:tc>
        <w:tc>
          <w:tcPr/>
          <w:p>
            <w:pPr>
              <w:pStyle w:val="Compact"/>
            </w:pPr>
            <w:r>
              <w:t xml:space="preserve">Property tax rate (residential or CIP).</w:t>
            </w:r>
          </w:p>
        </w:tc>
      </w:tr>
      <w:tr>
        <w:tc>
          <w:tcPr/>
          <w:p>
            <w:pPr>
              <w:pStyle w:val="Compact"/>
            </w:pPr>
            <w:r>
              <w:rPr>
                <w:rStyle w:val="VerbatimChar"/>
              </w:rPr>
              <w:t xml:space="preserve">financing_rate</w:t>
            </w:r>
          </w:p>
        </w:tc>
        <w:tc>
          <w:tcPr/>
          <w:p>
            <w:pPr>
              <w:pStyle w:val="Compact"/>
            </w:pPr>
            <w:r>
              <w:t xml:space="preserve">Numeric</w:t>
            </w:r>
          </w:p>
        </w:tc>
        <w:tc>
          <w:tcPr/>
          <w:p>
            <w:pPr>
              <w:pStyle w:val="Compact"/>
            </w:pPr>
            <w:r>
              <w:t xml:space="preserve">Assumed mortgage interest rate.</w:t>
            </w:r>
          </w:p>
        </w:tc>
      </w:tr>
    </w:tbl>
    <w:bookmarkEnd w:id="25"/>
    <w:bookmarkStart w:id="26" w:name="screeningparameters"/>
    <w:p>
      <w:pPr>
        <w:pStyle w:val="Heading3"/>
      </w:pPr>
      <w:r>
        <w:t xml:space="preserve">2.4 </w:t>
      </w:r>
      <w:r>
        <w:rPr>
          <w:rStyle w:val="VerbatimChar"/>
        </w:rPr>
        <w:t xml:space="preserve">ScreeningParameters</w:t>
      </w:r>
    </w:p>
    <w:p>
      <w:pPr>
        <w:pStyle w:val="FirstParagraph"/>
      </w:pPr>
      <w:r>
        <w:t xml:space="preserve">Defines threshold values and rules for each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strategy</w:t>
            </w:r>
          </w:p>
        </w:tc>
        <w:tc>
          <w:tcPr/>
          <w:p>
            <w:pPr>
              <w:pStyle w:val="Compact"/>
            </w:pPr>
            <w:r>
              <w:t xml:space="preserve">Enum</w:t>
            </w:r>
          </w:p>
        </w:tc>
        <w:tc>
          <w:tcPr/>
          <w:p>
            <w:pPr>
              <w:pStyle w:val="Compact"/>
            </w:pPr>
            <w:r>
              <w:t xml:space="preserve">Name of strategy tab.</w:t>
            </w:r>
          </w:p>
        </w:tc>
      </w:tr>
      <w:tr>
        <w:tc>
          <w:tcPr/>
          <w:p>
            <w:pPr>
              <w:pStyle w:val="Compact"/>
            </w:pPr>
            <w:r>
              <w:rPr>
                <w:rStyle w:val="VerbatimChar"/>
              </w:rPr>
              <w:t xml:space="preserve">min_entry_cap_rate</w:t>
            </w:r>
          </w:p>
        </w:tc>
        <w:tc>
          <w:tcPr/>
          <w:p>
            <w:pPr>
              <w:pStyle w:val="Compact"/>
            </w:pPr>
            <w:r>
              <w:t xml:space="preserve">Numeric</w:t>
            </w:r>
          </w:p>
        </w:tc>
        <w:tc>
          <w:tcPr/>
          <w:p>
            <w:pPr>
              <w:pStyle w:val="Compact"/>
            </w:pPr>
            <w:r>
              <w:t xml:space="preserve">Minimum acceptable entry cap rate.</w:t>
            </w:r>
          </w:p>
        </w:tc>
      </w:tr>
      <w:tr>
        <w:tc>
          <w:tcPr/>
          <w:p>
            <w:pPr>
              <w:pStyle w:val="Compact"/>
            </w:pPr>
            <w:r>
              <w:rPr>
                <w:rStyle w:val="VerbatimChar"/>
              </w:rPr>
              <w:t xml:space="preserve">min_lot_size</w:t>
            </w:r>
          </w:p>
        </w:tc>
        <w:tc>
          <w:tcPr/>
          <w:p>
            <w:pPr>
              <w:pStyle w:val="Compact"/>
            </w:pPr>
            <w:r>
              <w:t xml:space="preserve">Numeric</w:t>
            </w:r>
          </w:p>
        </w:tc>
        <w:tc>
          <w:tcPr/>
          <w:p>
            <w:pPr>
              <w:pStyle w:val="Compact"/>
            </w:pPr>
            <w:r>
              <w:t xml:space="preserve">Minimum lot size (acres) where applicable.</w:t>
            </w:r>
          </w:p>
        </w:tc>
      </w:tr>
      <w:tr>
        <w:tc>
          <w:tcPr/>
          <w:p>
            <w:pPr>
              <w:pStyle w:val="Compact"/>
            </w:pPr>
            <w:r>
              <w:rPr>
                <w:rStyle w:val="VerbatimChar"/>
              </w:rPr>
              <w:t xml:space="preserve">min_gross_floor_area</w:t>
            </w:r>
          </w:p>
        </w:tc>
        <w:tc>
          <w:tcPr/>
          <w:p>
            <w:pPr>
              <w:pStyle w:val="Compact"/>
            </w:pPr>
            <w:r>
              <w:t xml:space="preserve">Numeric</w:t>
            </w:r>
          </w:p>
        </w:tc>
        <w:tc>
          <w:tcPr/>
          <w:p>
            <w:pPr>
              <w:pStyle w:val="Compact"/>
            </w:pPr>
            <w:r>
              <w:t xml:space="preserve">For two‑family conversions (e.g., 1 800 sq ft).</w:t>
            </w:r>
          </w:p>
        </w:tc>
      </w:tr>
      <w:tr>
        <w:tc>
          <w:tcPr/>
          <w:p>
            <w:pPr>
              <w:pStyle w:val="Compact"/>
            </w:pPr>
            <w:r>
              <w:rPr>
                <w:rStyle w:val="VerbatimChar"/>
              </w:rPr>
              <w:t xml:space="preserve">risk_weight</w:t>
            </w:r>
          </w:p>
        </w:tc>
        <w:tc>
          <w:tcPr/>
          <w:p>
            <w:pPr>
              <w:pStyle w:val="Compact"/>
            </w:pPr>
            <w:r>
              <w:t xml:space="preserve">Numeric</w:t>
            </w:r>
          </w:p>
        </w:tc>
        <w:tc>
          <w:tcPr/>
          <w:p>
            <w:pPr>
              <w:pStyle w:val="Compact"/>
            </w:pPr>
            <w:r>
              <w:t xml:space="preserve">Weight applied to risk factors in scoring.</w:t>
            </w: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Additional rules (e.g., ADU size limit, zoning district requirements).</w:t>
            </w:r>
          </w:p>
        </w:tc>
      </w:tr>
    </w:tbl>
    <w:bookmarkEnd w:id="26"/>
    <w:bookmarkStart w:id="27" w:name="screeningresults"/>
    <w:p>
      <w:pPr>
        <w:pStyle w:val="Heading3"/>
      </w:pPr>
      <w:r>
        <w:t xml:space="preserve">2.5 </w:t>
      </w:r>
      <w:r>
        <w:rPr>
          <w:rStyle w:val="VerbatimChar"/>
        </w:rPr>
        <w:t xml:space="preserve">ScreeningResults</w:t>
      </w:r>
    </w:p>
    <w:p>
      <w:pPr>
        <w:pStyle w:val="FirstParagraph"/>
      </w:pPr>
      <w:r>
        <w:t xml:space="preserve">Stores computed financial metrics for each listing and scenario.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listing_id</w:t>
            </w:r>
          </w:p>
        </w:tc>
        <w:tc>
          <w:tcPr/>
          <w:p>
            <w:pPr>
              <w:pStyle w:val="Compact"/>
            </w:pPr>
            <w:r>
              <w:t xml:space="preserve">Foreign Key</w:t>
            </w:r>
          </w:p>
        </w:tc>
        <w:tc>
          <w:tcPr/>
          <w:p>
            <w:pPr>
              <w:pStyle w:val="Compact"/>
            </w:pPr>
            <w:r>
              <w:t xml:space="preserve">Links to</w:t>
            </w:r>
            <w:r>
              <w:t xml:space="preserve"> </w:t>
            </w:r>
            <w:r>
              <w:rPr>
                <w:rStyle w:val="VerbatimChar"/>
              </w:rPr>
              <w:t xml:space="preserve">MLSListings</w:t>
            </w:r>
            <w:r>
              <w:t xml:space="preserve">.</w:t>
            </w:r>
          </w:p>
        </w:tc>
      </w:tr>
      <w:tr>
        <w:tc>
          <w:tcPr/>
          <w:p>
            <w:pPr>
              <w:pStyle w:val="Compact"/>
            </w:pPr>
            <w:r>
              <w:rPr>
                <w:rStyle w:val="VerbatimChar"/>
              </w:rPr>
              <w:t xml:space="preserve">scenario</w:t>
            </w:r>
          </w:p>
        </w:tc>
        <w:tc>
          <w:tcPr/>
          <w:p>
            <w:pPr>
              <w:pStyle w:val="Compact"/>
            </w:pPr>
            <w:r>
              <w:t xml:space="preserve">Enum</w:t>
            </w:r>
          </w:p>
        </w:tc>
        <w:tc>
          <w:tcPr/>
          <w:p>
            <w:pPr>
              <w:pStyle w:val="Compact"/>
            </w:pPr>
            <w:r>
              <w:t xml:space="preserve">Assumptions scenario used (Balanced or Growth).</w:t>
            </w:r>
          </w:p>
        </w:tc>
      </w:tr>
      <w:tr>
        <w:tc>
          <w:tcPr/>
          <w:p>
            <w:pPr>
              <w:pStyle w:val="Compact"/>
            </w:pPr>
            <w:r>
              <w:rPr>
                <w:rStyle w:val="VerbatimChar"/>
              </w:rPr>
              <w:t xml:space="preserve">estimated_rent</w:t>
            </w:r>
          </w:p>
        </w:tc>
        <w:tc>
          <w:tcPr/>
          <w:p>
            <w:pPr>
              <w:pStyle w:val="Compact"/>
            </w:pPr>
            <w:r>
              <w:t xml:space="preserve">Numeric</w:t>
            </w:r>
          </w:p>
        </w:tc>
        <w:tc>
          <w:tcPr/>
          <w:p>
            <w:pPr>
              <w:pStyle w:val="Compact"/>
            </w:pPr>
            <w:r>
              <w:t xml:space="preserve">Estimated monthly rent (per unit).</w:t>
            </w:r>
          </w:p>
        </w:tc>
      </w:tr>
      <w:tr>
        <w:tc>
          <w:tcPr/>
          <w:p>
            <w:pPr>
              <w:pStyle w:val="Compact"/>
            </w:pPr>
            <w:r>
              <w:rPr>
                <w:rStyle w:val="VerbatimChar"/>
              </w:rPr>
              <w:t xml:space="preserve">gross_rent</w:t>
            </w:r>
          </w:p>
        </w:tc>
        <w:tc>
          <w:tcPr/>
          <w:p>
            <w:pPr>
              <w:pStyle w:val="Compact"/>
            </w:pPr>
            <w:r>
              <w:t xml:space="preserve">Numeric</w:t>
            </w:r>
          </w:p>
        </w:tc>
        <w:tc>
          <w:tcPr/>
          <w:p>
            <w:pPr>
              <w:pStyle w:val="Compact"/>
            </w:pPr>
            <w:r>
              <w:t xml:space="preserve">Annualised rent (rent × bedrooms × 12).</w:t>
            </w:r>
          </w:p>
        </w:tc>
      </w:tr>
      <w:tr>
        <w:tc>
          <w:tcPr/>
          <w:p>
            <w:pPr>
              <w:pStyle w:val="Compact"/>
            </w:pPr>
            <w:r>
              <w:rPr>
                <w:rStyle w:val="VerbatimChar"/>
              </w:rPr>
              <w:t xml:space="preserve">operating_expenses</w:t>
            </w:r>
          </w:p>
        </w:tc>
        <w:tc>
          <w:tcPr/>
          <w:p>
            <w:pPr>
              <w:pStyle w:val="Compact"/>
            </w:pPr>
            <w:r>
              <w:t xml:space="preserve">Numeric</w:t>
            </w:r>
          </w:p>
        </w:tc>
        <w:tc>
          <w:tcPr/>
          <w:p>
            <w:pPr>
              <w:pStyle w:val="Compact"/>
            </w:pPr>
            <w:r>
              <w:t xml:space="preserve">Expense estimate (gross_rent × expense_ratio).</w:t>
            </w:r>
          </w:p>
        </w:tc>
      </w:tr>
      <w:tr>
        <w:tc>
          <w:tcPr/>
          <w:p>
            <w:pPr>
              <w:pStyle w:val="Compact"/>
            </w:pPr>
            <w:r>
              <w:rPr>
                <w:rStyle w:val="VerbatimChar"/>
              </w:rPr>
              <w:t xml:space="preserve">property_tax</w:t>
            </w:r>
          </w:p>
        </w:tc>
        <w:tc>
          <w:tcPr/>
          <w:p>
            <w:pPr>
              <w:pStyle w:val="Compact"/>
            </w:pPr>
            <w:r>
              <w:t xml:space="preserve">Numeric</w:t>
            </w:r>
          </w:p>
        </w:tc>
        <w:tc>
          <w:tcPr/>
          <w:p>
            <w:pPr>
              <w:pStyle w:val="Compact"/>
            </w:pPr>
            <w:r>
              <w:t xml:space="preserve">Tax estimate (list_price × tax_rate).</w:t>
            </w:r>
          </w:p>
        </w:tc>
      </w:tr>
      <w:tr>
        <w:tc>
          <w:tcPr/>
          <w:p>
            <w:pPr>
              <w:pStyle w:val="Compact"/>
            </w:pPr>
            <w:r>
              <w:rPr>
                <w:rStyle w:val="VerbatimChar"/>
              </w:rPr>
              <w:t xml:space="preserve">noi</w:t>
            </w:r>
          </w:p>
        </w:tc>
        <w:tc>
          <w:tcPr/>
          <w:p>
            <w:pPr>
              <w:pStyle w:val="Compact"/>
            </w:pPr>
            <w:r>
              <w:t xml:space="preserve">Numeric</w:t>
            </w:r>
          </w:p>
        </w:tc>
        <w:tc>
          <w:tcPr/>
          <w:p>
            <w:pPr>
              <w:pStyle w:val="Compact"/>
            </w:pPr>
            <w:r>
              <w:t xml:space="preserve">Net operating income (gross_rent × (1 − vacancy) – expenses – tax).</w:t>
            </w:r>
          </w:p>
        </w:tc>
      </w:tr>
      <w:tr>
        <w:tc>
          <w:tcPr/>
          <w:p>
            <w:pPr>
              <w:pStyle w:val="Compact"/>
            </w:pPr>
            <w:r>
              <w:rPr>
                <w:rStyle w:val="VerbatimChar"/>
              </w:rPr>
              <w:t xml:space="preserve">entry_cap_rate</w:t>
            </w:r>
          </w:p>
        </w:tc>
        <w:tc>
          <w:tcPr/>
          <w:p>
            <w:pPr>
              <w:pStyle w:val="Compact"/>
            </w:pPr>
            <w:r>
              <w:t xml:space="preserve">Numeric</w:t>
            </w:r>
          </w:p>
        </w:tc>
        <w:tc>
          <w:tcPr/>
          <w:p>
            <w:pPr>
              <w:pStyle w:val="Compact"/>
            </w:pPr>
            <w:r>
              <w:t xml:space="preserve">NOI / list_price.</w:t>
            </w:r>
          </w:p>
        </w:tc>
      </w:tr>
      <w:tr>
        <w:tc>
          <w:tcPr/>
          <w:p>
            <w:pPr>
              <w:pStyle w:val="Compact"/>
            </w:pPr>
            <w:r>
              <w:rPr>
                <w:rStyle w:val="VerbatimChar"/>
              </w:rPr>
              <w:t xml:space="preserve">stabilised_noi</w:t>
            </w:r>
          </w:p>
        </w:tc>
        <w:tc>
          <w:tcPr/>
          <w:p>
            <w:pPr>
              <w:pStyle w:val="Compact"/>
            </w:pPr>
            <w:r>
              <w:t xml:space="preserve">Numeric</w:t>
            </w:r>
          </w:p>
        </w:tc>
        <w:tc>
          <w:tcPr/>
          <w:p>
            <w:pPr>
              <w:pStyle w:val="Compact"/>
            </w:pPr>
            <w:r>
              <w:t xml:space="preserve">NOI after renovation or ADU addition (for relevant strategies).</w:t>
            </w:r>
          </w:p>
        </w:tc>
      </w:tr>
      <w:tr>
        <w:tc>
          <w:tcPr/>
          <w:p>
            <w:pPr>
              <w:pStyle w:val="Compact"/>
            </w:pPr>
            <w:r>
              <w:rPr>
                <w:rStyle w:val="VerbatimChar"/>
              </w:rPr>
              <w:t xml:space="preserve">stabilised_cap_rate</w:t>
            </w:r>
          </w:p>
        </w:tc>
        <w:tc>
          <w:tcPr/>
          <w:p>
            <w:pPr>
              <w:pStyle w:val="Compact"/>
            </w:pPr>
            <w:r>
              <w:t xml:space="preserve">Numeric</w:t>
            </w:r>
          </w:p>
        </w:tc>
        <w:tc>
          <w:tcPr/>
          <w:p>
            <w:pPr>
              <w:pStyle w:val="Compact"/>
            </w:pPr>
            <w:r>
              <w:t xml:space="preserve">Stabilised NOI / total capital invested.</w:t>
            </w:r>
          </w:p>
        </w:tc>
      </w:tr>
      <w:tr>
        <w:tc>
          <w:tcPr/>
          <w:p>
            <w:pPr>
              <w:pStyle w:val="Compact"/>
            </w:pPr>
            <w:r>
              <w:rPr>
                <w:rStyle w:val="VerbatimChar"/>
              </w:rPr>
              <w:t xml:space="preserve">score</w:t>
            </w:r>
          </w:p>
        </w:tc>
        <w:tc>
          <w:tcPr/>
          <w:p>
            <w:pPr>
              <w:pStyle w:val="Compact"/>
            </w:pPr>
            <w:r>
              <w:t xml:space="preserve">Numeric</w:t>
            </w:r>
          </w:p>
        </w:tc>
        <w:tc>
          <w:tcPr/>
          <w:p>
            <w:pPr>
              <w:pStyle w:val="Compact"/>
            </w:pPr>
            <w:r>
              <w:t xml:space="preserve">Composite score combining cap rate, optionality flags and risk penalties.</w:t>
            </w:r>
          </w:p>
        </w:tc>
      </w:tr>
    </w:tbl>
    <w:bookmarkEnd w:id="27"/>
    <w:bookmarkStart w:id="28" w:name="offmarketleads-optional-future-extension"/>
    <w:p>
      <w:pPr>
        <w:pStyle w:val="Heading3"/>
      </w:pPr>
      <w:r>
        <w:t xml:space="preserve">2.6 </w:t>
      </w:r>
      <w:r>
        <w:rPr>
          <w:rStyle w:val="VerbatimChar"/>
        </w:rPr>
        <w:t xml:space="preserve">OffMarketLeads</w:t>
      </w:r>
      <w:r>
        <w:t xml:space="preserve"> </w:t>
      </w:r>
      <w:r>
        <w:t xml:space="preserve">(optional future extension)</w:t>
      </w:r>
    </w:p>
    <w:p>
      <w:pPr>
        <w:pStyle w:val="FirstParagraph"/>
      </w:pPr>
      <w:r>
        <w:t xml:space="preserve">Stores off‑market targets generated by the Off‑Market Pipeline engine. Fields include address, owner mailing address, tenure, lot size, property type, motivation signals, contact status and notes. These leads can be ingested from assessor records and external data sources when permissions allow.</w:t>
      </w:r>
    </w:p>
    <w:bookmarkEnd w:id="28"/>
    <w:bookmarkEnd w:id="29"/>
    <w:bookmarkStart w:id="30" w:name="calculation-logic"/>
    <w:p>
      <w:pPr>
        <w:pStyle w:val="Heading2"/>
      </w:pPr>
      <w:r>
        <w:t xml:space="preserve">3 Calculation Logic</w:t>
      </w:r>
    </w:p>
    <w:p>
      <w:pPr>
        <w:pStyle w:val="FirstParagraph"/>
      </w:pPr>
      <w:r>
        <w:t xml:space="preserve">The backend processing pipeline performs the following steps when a new MLS dataset is uploaded:</w:t>
      </w:r>
    </w:p>
    <w:p>
      <w:pPr>
        <w:numPr>
          <w:ilvl w:val="0"/>
          <w:numId w:val="1002"/>
        </w:numPr>
      </w:pPr>
      <w:r>
        <w:rPr>
          <w:b/>
          <w:bCs/>
        </w:rPr>
        <w:t xml:space="preserve">Data ingestion and cleaning:</w:t>
      </w:r>
      <w:r>
        <w:t xml:space="preserve"> </w:t>
      </w:r>
      <w:r>
        <w:t xml:space="preserve">Standardise column names; parse dates; convert list and sale prices to numeric values; parse square footage and lot size; clean statuses and remarks; assign property categories. Store raw records in</w:t>
      </w:r>
      <w:r>
        <w:t xml:space="preserve"> </w:t>
      </w:r>
      <w:r>
        <w:rPr>
          <w:rStyle w:val="VerbatimChar"/>
        </w:rPr>
        <w:t xml:space="preserve">MLSListings</w:t>
      </w:r>
      <w:r>
        <w:t xml:space="preserve"> </w:t>
      </w:r>
      <w:r>
        <w:t xml:space="preserve">and computed fields in</w:t>
      </w:r>
      <w:r>
        <w:t xml:space="preserve"> </w:t>
      </w:r>
      <w:r>
        <w:rPr>
          <w:rStyle w:val="VerbatimChar"/>
        </w:rPr>
        <w:t xml:space="preserve">DerivedMetrics</w:t>
      </w:r>
      <w:r>
        <w:t xml:space="preserve">.</w:t>
      </w:r>
    </w:p>
    <w:p>
      <w:pPr>
        <w:numPr>
          <w:ilvl w:val="0"/>
          <w:numId w:val="1002"/>
        </w:numPr>
      </w:pPr>
      <w:r>
        <w:rPr>
          <w:b/>
          <w:bCs/>
        </w:rPr>
        <w:t xml:space="preserve">Derived metrics:</w:t>
      </w:r>
      <w:r>
        <w:t xml:space="preserve"> </w:t>
      </w:r>
      <w:r>
        <w:t xml:space="preserve">Compute</w:t>
      </w:r>
      <w:r>
        <w:t xml:space="preserve"> </w:t>
      </w:r>
      <w:r>
        <w:rPr>
          <w:rStyle w:val="VerbatimChar"/>
        </w:rPr>
        <w:t xml:space="preserve">dom_calculated</w:t>
      </w:r>
      <w:r>
        <w:t xml:space="preserve">,</w:t>
      </w:r>
      <w:r>
        <w:t xml:space="preserve"> </w:t>
      </w:r>
      <w:r>
        <w:rPr>
          <w:rStyle w:val="VerbatimChar"/>
        </w:rPr>
        <w:t xml:space="preserve">price_per_sqft</w:t>
      </w:r>
      <w:r>
        <w:t xml:space="preserve">,</w:t>
      </w:r>
      <w:r>
        <w:t xml:space="preserve"> </w:t>
      </w:r>
      <w:r>
        <w:rPr>
          <w:rStyle w:val="VerbatimChar"/>
        </w:rPr>
        <w:t xml:space="preserve">age</w:t>
      </w:r>
      <w:r>
        <w:t xml:space="preserve">,</w:t>
      </w:r>
      <w:r>
        <w:t xml:space="preserve"> </w:t>
      </w:r>
      <w:r>
        <w:rPr>
          <w:rStyle w:val="VerbatimChar"/>
        </w:rPr>
        <w:t xml:space="preserve">sale_year</w:t>
      </w:r>
      <w:r>
        <w:t xml:space="preserve">, and detect optionality flags using keyword matching in remarks and lot size thresholds (e.g.,</w:t>
      </w:r>
      <w:r>
        <w:t xml:space="preserve"> </w:t>
      </w:r>
      <w:r>
        <w:rPr>
          <w:rStyle w:val="VerbatimChar"/>
        </w:rPr>
        <w:t xml:space="preserve">inlaw_potential</w:t>
      </w:r>
      <w:r>
        <w:t xml:space="preserve"> </w:t>
      </w:r>
      <w:r>
        <w:t xml:space="preserve">if remarks mention “in‑law” or “ADU”;</w:t>
      </w:r>
      <w:r>
        <w:t xml:space="preserve"> </w:t>
      </w:r>
      <w:r>
        <w:rPr>
          <w:rStyle w:val="VerbatimChar"/>
        </w:rPr>
        <w:t xml:space="preserve">large_lot</w:t>
      </w:r>
      <w:r>
        <w:t xml:space="preserve"> </w:t>
      </w:r>
      <w:r>
        <w:t xml:space="preserve">if</w:t>
      </w:r>
      <w:r>
        <w:t xml:space="preserve"> </w:t>
      </w:r>
      <w:r>
        <w:rPr>
          <w:rStyle w:val="VerbatimChar"/>
        </w:rPr>
        <w:t xml:space="preserve">lot_acres ≥ 0.5</w:t>
      </w:r>
      <w:r>
        <w:t xml:space="preserve">).</w:t>
      </w:r>
    </w:p>
    <w:p>
      <w:pPr>
        <w:numPr>
          <w:ilvl w:val="0"/>
          <w:numId w:val="1002"/>
        </w:numPr>
      </w:pPr>
      <w:r>
        <w:rPr>
          <w:b/>
          <w:bCs/>
        </w:rPr>
        <w:t xml:space="preserve">Strategy screening:</w:t>
      </w:r>
      <w:r>
        <w:t xml:space="preserve"> </w:t>
      </w:r>
      <w:r>
        <w:t xml:space="preserve">Apply the rules defined in</w:t>
      </w:r>
      <w:r>
        <w:t xml:space="preserve"> </w:t>
      </w:r>
      <w:r>
        <w:rPr>
          <w:rStyle w:val="VerbatimChar"/>
        </w:rPr>
        <w:t xml:space="preserve">ScreeningParameters</w:t>
      </w:r>
      <w:r>
        <w:t xml:space="preserve"> </w:t>
      </w:r>
      <w:r>
        <w:t xml:space="preserve">to classify each listing into zero or more strategies. For each strategy and scenario (Balanced, Growth), compute financial metrics using assumptions from the</w:t>
      </w:r>
      <w:r>
        <w:t xml:space="preserve"> </w:t>
      </w:r>
      <w:r>
        <w:rPr>
          <w:rStyle w:val="VerbatimChar"/>
        </w:rPr>
        <w:t xml:space="preserve">Assumptions</w:t>
      </w:r>
      <w:r>
        <w:t xml:space="preserve"> </w:t>
      </w:r>
      <w:r>
        <w:t xml:space="preserve">table:</w:t>
      </w:r>
    </w:p>
    <w:p>
      <w:pPr>
        <w:pStyle w:val="Compact"/>
        <w:numPr>
          <w:ilvl w:val="0"/>
          <w:numId w:val="1002"/>
        </w:numPr>
      </w:pPr>
      <w:r>
        <w:rPr>
          <w:b/>
          <w:bCs/>
        </w:rPr>
        <w:t xml:space="preserve">Estimated rent</w:t>
      </w:r>
      <w:r>
        <w:t xml:space="preserve"> </w:t>
      </w:r>
      <w:r>
        <w:t xml:space="preserve">= look up</w:t>
      </w:r>
      <w:r>
        <w:t xml:space="preserve"> </w:t>
      </w:r>
      <w:r>
        <w:rPr>
          <w:rStyle w:val="VerbatimChar"/>
        </w:rPr>
        <w:t xml:space="preserve">Assumptions.estimated_rent</w:t>
      </w:r>
      <w:r>
        <w:t xml:space="preserve"> </w:t>
      </w:r>
      <w:r>
        <w:t xml:space="preserve">for the property type, bedroom count and scenario.</w:t>
      </w:r>
    </w:p>
    <w:p>
      <w:pPr>
        <w:pStyle w:val="Compact"/>
        <w:numPr>
          <w:ilvl w:val="0"/>
          <w:numId w:val="1002"/>
        </w:numPr>
      </w:pPr>
      <w:r>
        <w:rPr>
          <w:b/>
          <w:bCs/>
        </w:rPr>
        <w:t xml:space="preserve">Gross rent</w:t>
      </w:r>
      <w:r>
        <w:t xml:space="preserve"> </w:t>
      </w:r>
      <w:r>
        <w:t xml:space="preserve">= estimated_rent × bedrooms × 12 (for multi‑family, multiply by unit count or use average unit size if available).</w:t>
      </w:r>
    </w:p>
    <w:p>
      <w:pPr>
        <w:pStyle w:val="Compact"/>
        <w:numPr>
          <w:ilvl w:val="0"/>
          <w:numId w:val="1002"/>
        </w:numPr>
      </w:pPr>
      <w:r>
        <w:rPr>
          <w:b/>
          <w:bCs/>
        </w:rPr>
        <w:t xml:space="preserve">Vacancy adjustment</w:t>
      </w:r>
      <w:r>
        <w:t xml:space="preserve"> </w:t>
      </w:r>
      <w:r>
        <w:t xml:space="preserve">= gross_rent × (1 − vacancy_rate).</w:t>
      </w:r>
    </w:p>
    <w:p>
      <w:pPr>
        <w:pStyle w:val="Compact"/>
        <w:numPr>
          <w:ilvl w:val="0"/>
          <w:numId w:val="1002"/>
        </w:numPr>
      </w:pPr>
      <w:r>
        <w:rPr>
          <w:b/>
          <w:bCs/>
        </w:rPr>
        <w:t xml:space="preserve">Operating expenses</w:t>
      </w:r>
      <w:r>
        <w:t xml:space="preserve"> </w:t>
      </w:r>
      <w:r>
        <w:t xml:space="preserve">= gross_rent × expense_ratio.</w:t>
      </w:r>
    </w:p>
    <w:p>
      <w:pPr>
        <w:pStyle w:val="Compact"/>
        <w:numPr>
          <w:ilvl w:val="0"/>
          <w:numId w:val="1002"/>
        </w:numPr>
      </w:pPr>
      <w:r>
        <w:rPr>
          <w:b/>
          <w:bCs/>
        </w:rPr>
        <w:t xml:space="preserve">Property tax</w:t>
      </w:r>
      <w:r>
        <w:t xml:space="preserve"> </w:t>
      </w:r>
      <w:r>
        <w:t xml:space="preserve">= list_price × tax_rate.</w:t>
      </w:r>
    </w:p>
    <w:p>
      <w:pPr>
        <w:pStyle w:val="Compact"/>
        <w:numPr>
          <w:ilvl w:val="0"/>
          <w:numId w:val="1002"/>
        </w:numPr>
      </w:pPr>
      <w:r>
        <w:rPr>
          <w:b/>
          <w:bCs/>
        </w:rPr>
        <w:t xml:space="preserve">Net operating income (NOI)</w:t>
      </w:r>
      <w:r>
        <w:t xml:space="preserve"> </w:t>
      </w:r>
      <w:r>
        <w:t xml:space="preserve">= vacancy-adjusted gross rent – expenses – tax.</w:t>
      </w:r>
    </w:p>
    <w:p>
      <w:pPr>
        <w:pStyle w:val="Compact"/>
        <w:numPr>
          <w:ilvl w:val="0"/>
          <w:numId w:val="1002"/>
        </w:numPr>
      </w:pPr>
      <w:r>
        <w:rPr>
          <w:b/>
          <w:bCs/>
        </w:rPr>
        <w:t xml:space="preserve">Entry cap rate</w:t>
      </w:r>
      <w:r>
        <w:t xml:space="preserve"> </w:t>
      </w:r>
      <w:r>
        <w:t xml:space="preserve">= NOI / list_price.</w:t>
      </w:r>
    </w:p>
    <w:p>
      <w:pPr>
        <w:pStyle w:val="Compact"/>
        <w:numPr>
          <w:ilvl w:val="0"/>
          <w:numId w:val="1002"/>
        </w:numPr>
      </w:pPr>
      <w:r>
        <w:rPr>
          <w:b/>
          <w:bCs/>
        </w:rPr>
        <w:t xml:space="preserve">Stabilised NOI</w:t>
      </w:r>
      <w:r>
        <w:t xml:space="preserve"> </w:t>
      </w:r>
      <w:r>
        <w:t xml:space="preserve">= (vacancy-adjusted gross rent at target rent after renovation or ADU) – expenses – tax.</w:t>
      </w:r>
    </w:p>
    <w:p>
      <w:pPr>
        <w:pStyle w:val="Compact"/>
        <w:numPr>
          <w:ilvl w:val="0"/>
          <w:numId w:val="1002"/>
        </w:numPr>
      </w:pPr>
      <w:r>
        <w:rPr>
          <w:b/>
          <w:bCs/>
        </w:rPr>
        <w:t xml:space="preserve">Stabilised cap rate</w:t>
      </w:r>
      <w:r>
        <w:t xml:space="preserve"> </w:t>
      </w:r>
      <w:r>
        <w:t xml:space="preserve">= stabilised_noi / (list_price + renovation_cost). Renovation costs can be estimated via a rule‑of‑thumb (e.g., $30–$50 ft²) or entered by the user.</w:t>
      </w:r>
    </w:p>
    <w:p>
      <w:pPr>
        <w:numPr>
          <w:ilvl w:val="0"/>
          <w:numId w:val="1002"/>
        </w:numPr>
      </w:pPr>
      <w:r>
        <w:rPr>
          <w:b/>
          <w:bCs/>
        </w:rPr>
        <w:t xml:space="preserve">Scoring</w:t>
      </w:r>
      <w:r>
        <w:t xml:space="preserve"> </w:t>
      </w:r>
      <w:r>
        <w:t xml:space="preserve">= weighted sum of (entry_cap_rate relative to threshold, optionality flags present, risk factors). A simple formula might be:</w:t>
      </w:r>
    </w:p>
    <w:p>
      <w:pPr>
        <w:pStyle w:val="SourceCode"/>
        <w:numPr>
          <w:ilvl w:val="0"/>
          <w:numId w:val="1000"/>
        </w:numPr>
      </w:pPr>
      <w:r>
        <w:rPr>
          <w:rStyle w:val="VerbatimChar"/>
        </w:rPr>
        <w:t xml:space="preserve">score = (entry_cap_rate − min_entry_cap_rate) × 100</w:t>
      </w:r>
      <w:r>
        <w:br/>
      </w:r>
      <w:r>
        <w:rPr>
          <w:rStyle w:val="VerbatimChar"/>
        </w:rPr>
        <w:t xml:space="preserve">        + optionality_bonus</w:t>
      </w:r>
      <w:r>
        <w:br/>
      </w:r>
      <w:r>
        <w:rPr>
          <w:rStyle w:val="VerbatimChar"/>
        </w:rPr>
        <w:t xml:space="preserve">        − risk_weight × risk_penalties</w:t>
      </w:r>
    </w:p>
    <w:p>
      <w:pPr>
        <w:numPr>
          <w:ilvl w:val="0"/>
          <w:numId w:val="1000"/>
        </w:numPr>
      </w:pPr>
      <w:r>
        <w:t xml:space="preserve">where</w:t>
      </w:r>
      <w:r>
        <w:t xml:space="preserve"> </w:t>
      </w:r>
      <w:r>
        <w:rPr>
          <w:rStyle w:val="VerbatimChar"/>
        </w:rPr>
        <w:t xml:space="preserve">optionality_bonus</w:t>
      </w:r>
      <w:r>
        <w:t xml:space="preserve"> </w:t>
      </w:r>
      <w:r>
        <w:t xml:space="preserve">is based on tags (e.g., +10 points for large lot or in‑law potential) and</w:t>
      </w:r>
      <w:r>
        <w:t xml:space="preserve"> </w:t>
      </w:r>
      <w:r>
        <w:rPr>
          <w:rStyle w:val="VerbatimChar"/>
        </w:rPr>
        <w:t xml:space="preserve">risk_penalties</w:t>
      </w:r>
      <w:r>
        <w:t xml:space="preserve"> </w:t>
      </w:r>
      <w:r>
        <w:t xml:space="preserve">reflect long DOM, unknown HOA fees or major renovations.</w:t>
      </w:r>
    </w:p>
    <w:p>
      <w:pPr>
        <w:numPr>
          <w:ilvl w:val="0"/>
          <w:numId w:val="1002"/>
        </w:numPr>
      </w:pPr>
      <w:r>
        <w:rPr>
          <w:b/>
          <w:bCs/>
        </w:rPr>
        <w:t xml:space="preserve">Deal classification:</w:t>
      </w:r>
      <w:r>
        <w:t xml:space="preserve"> </w:t>
      </w:r>
      <w:r>
        <w:t xml:space="preserve">A listing is marked</w:t>
      </w:r>
      <w:r>
        <w:t xml:space="preserve"> </w:t>
      </w:r>
      <w:r>
        <w:rPr>
          <w:b/>
          <w:bCs/>
        </w:rPr>
        <w:t xml:space="preserve">Recommended</w:t>
      </w:r>
      <w:r>
        <w:t xml:space="preserve"> </w:t>
      </w:r>
      <w:r>
        <w:t xml:space="preserve">in a strategy tab if</w:t>
      </w:r>
      <w:r>
        <w:t xml:space="preserve"> </w:t>
      </w:r>
      <w:r>
        <w:rPr>
          <w:rStyle w:val="VerbatimChar"/>
        </w:rPr>
        <w:t xml:space="preserve">entry_cap_rate ≥ min_entry_cap_rate</w:t>
      </w:r>
      <w:r>
        <w:t xml:space="preserve">, there are no critical risk flags (e.g., missing HOA data), and it scores above a certain threshold. It is marked</w:t>
      </w:r>
      <w:r>
        <w:t xml:space="preserve"> </w:t>
      </w:r>
      <w:r>
        <w:rPr>
          <w:b/>
          <w:bCs/>
        </w:rPr>
        <w:t xml:space="preserve">Watchlist</w:t>
      </w:r>
      <w:r>
        <w:t xml:space="preserve"> </w:t>
      </w:r>
      <w:r>
        <w:t xml:space="preserve">if it nearly meets the cap‑rate threshold or has unresolved risk items but shows potential. Listings not meeting criteria remain unassigned or are hidden.</w:t>
      </w:r>
    </w:p>
    <w:p>
      <w:pPr>
        <w:numPr>
          <w:ilvl w:val="0"/>
          <w:numId w:val="1002"/>
        </w:numPr>
      </w:pPr>
      <w:r>
        <w:rPr>
          <w:b/>
          <w:bCs/>
        </w:rPr>
        <w:t xml:space="preserve">Strategy assignment:</w:t>
      </w:r>
      <w:r>
        <w:t xml:space="preserve"> </w:t>
      </w:r>
      <w:r>
        <w:t xml:space="preserve">If a listing meets more than one strategy’s criteria, assign it to the strategy with the highest score or allow it to appear under multiple tabs. Optionality deals that don’t meet cap‑rate targets are stored in a dedicated sub‑table to be displayed under “Optionality.”</w:t>
      </w:r>
    </w:p>
    <w:p>
      <w:pPr>
        <w:numPr>
          <w:ilvl w:val="0"/>
          <w:numId w:val="1002"/>
        </w:numPr>
      </w:pPr>
      <w:r>
        <w:rPr>
          <w:b/>
          <w:bCs/>
        </w:rPr>
        <w:t xml:space="preserve">Result storage:</w:t>
      </w:r>
      <w:r>
        <w:t xml:space="preserve"> </w:t>
      </w:r>
      <w:r>
        <w:t xml:space="preserve">Write the computed records into</w:t>
      </w:r>
      <w:r>
        <w:t xml:space="preserve"> </w:t>
      </w:r>
      <w:r>
        <w:rPr>
          <w:rStyle w:val="VerbatimChar"/>
        </w:rPr>
        <w:t xml:space="preserve">ScreeningResults</w:t>
      </w:r>
      <w:r>
        <w:t xml:space="preserve"> </w:t>
      </w:r>
      <w:r>
        <w:t xml:space="preserve">and update</w:t>
      </w:r>
      <w:r>
        <w:t xml:space="preserve"> </w:t>
      </w:r>
      <w:r>
        <w:rPr>
          <w:rStyle w:val="VerbatimChar"/>
        </w:rPr>
        <w:t xml:space="preserve">DerivedMetrics.strategy_classification</w:t>
      </w:r>
      <w:r>
        <w:t xml:space="preserve"> </w:t>
      </w:r>
      <w:r>
        <w:t xml:space="preserve">and</w:t>
      </w:r>
      <w:r>
        <w:t xml:space="preserve"> </w:t>
      </w:r>
      <w:r>
        <w:rPr>
          <w:rStyle w:val="VerbatimChar"/>
        </w:rPr>
        <w:t xml:space="preserve">deal_status</w:t>
      </w:r>
      <w:r>
        <w:t xml:space="preserve">. The front‑end queries these tables to populate each tab.</w:t>
      </w:r>
    </w:p>
    <w:bookmarkEnd w:id="30"/>
    <w:bookmarkStart w:id="34" w:name="ui-wireframe-description"/>
    <w:p>
      <w:pPr>
        <w:pStyle w:val="Heading2"/>
      </w:pPr>
      <w:r>
        <w:t xml:space="preserve">4 UI Wireframe Description</w:t>
      </w:r>
    </w:p>
    <w:bookmarkStart w:id="31" w:name="dashboard"/>
    <w:p>
      <w:pPr>
        <w:pStyle w:val="Heading3"/>
      </w:pPr>
      <w:r>
        <w:t xml:space="preserve">4.1 Dashboard</w:t>
      </w:r>
    </w:p>
    <w:p>
      <w:pPr>
        <w:pStyle w:val="FirstParagraph"/>
      </w:pPr>
      <w:r>
        <w:t xml:space="preserve">The home tab displays:</w:t>
      </w:r>
    </w:p>
    <w:p>
      <w:pPr>
        <w:pStyle w:val="Compact"/>
        <w:numPr>
          <w:ilvl w:val="0"/>
          <w:numId w:val="1003"/>
        </w:numPr>
      </w:pPr>
      <w:r>
        <w:rPr>
          <w:b/>
          <w:bCs/>
        </w:rPr>
        <w:t xml:space="preserve">Market snapshot cards</w:t>
      </w:r>
      <w:r>
        <w:t xml:space="preserve"> </w:t>
      </w:r>
      <w:r>
        <w:t xml:space="preserve">summarising median sale price, price per square foot, days on market and transaction volume by property type.</w:t>
      </w:r>
    </w:p>
    <w:p>
      <w:pPr>
        <w:pStyle w:val="Compact"/>
        <w:numPr>
          <w:ilvl w:val="0"/>
          <w:numId w:val="1003"/>
        </w:numPr>
      </w:pPr>
      <w:r>
        <w:rPr>
          <w:b/>
          <w:bCs/>
        </w:rPr>
        <w:t xml:space="preserve">Cap‑rate gauge</w:t>
      </w:r>
      <w:r>
        <w:t xml:space="preserve"> </w:t>
      </w:r>
      <w:r>
        <w:t xml:space="preserve">comparing Marlborough cap rates to Greater Boston and MetroWest. Users can select Balanced or Growth assumptions.</w:t>
      </w:r>
    </w:p>
    <w:p>
      <w:pPr>
        <w:pStyle w:val="Compact"/>
        <w:numPr>
          <w:ilvl w:val="0"/>
          <w:numId w:val="1003"/>
        </w:numPr>
      </w:pPr>
      <w:r>
        <w:rPr>
          <w:b/>
          <w:bCs/>
        </w:rPr>
        <w:t xml:space="preserve">Recent updates</w:t>
      </w:r>
      <w:r>
        <w:t xml:space="preserve"> </w:t>
      </w:r>
      <w:r>
        <w:t xml:space="preserve">listing date of last MLS import, number of active listings and counts by strategy classification.</w:t>
      </w:r>
    </w:p>
    <w:p>
      <w:pPr>
        <w:pStyle w:val="Compact"/>
        <w:numPr>
          <w:ilvl w:val="0"/>
          <w:numId w:val="1003"/>
        </w:numPr>
      </w:pPr>
      <w:r>
        <w:rPr>
          <w:b/>
          <w:bCs/>
        </w:rPr>
        <w:t xml:space="preserve">Navigation bar</w:t>
      </w:r>
      <w:r>
        <w:t xml:space="preserve"> </w:t>
      </w:r>
      <w:r>
        <w:t xml:space="preserve">for switching tabs.</w:t>
      </w:r>
    </w:p>
    <w:bookmarkEnd w:id="31"/>
    <w:bookmarkStart w:id="32" w:name="strategy-tabs-common-layout"/>
    <w:p>
      <w:pPr>
        <w:pStyle w:val="Heading3"/>
      </w:pPr>
      <w:r>
        <w:t xml:space="preserve">4.2 Strategy Tabs (common layout)</w:t>
      </w:r>
    </w:p>
    <w:p>
      <w:pPr>
        <w:pStyle w:val="FirstParagraph"/>
      </w:pPr>
      <w:r>
        <w:t xml:space="preserve">Each strategy tab follows a similar structure:</w:t>
      </w:r>
    </w:p>
    <w:p>
      <w:pPr>
        <w:numPr>
          <w:ilvl w:val="0"/>
          <w:numId w:val="1004"/>
        </w:numPr>
      </w:pPr>
      <w:r>
        <w:rPr>
          <w:b/>
          <w:bCs/>
        </w:rPr>
        <w:t xml:space="preserve">Assumptions panel</w:t>
      </w:r>
      <w:r>
        <w:t xml:space="preserve"> </w:t>
      </w:r>
      <w:r>
        <w:t xml:space="preserve">(collapsible). Displays the rent, expense, vacancy and tax assumptions driving calculations. Users can toggle between Balanced and Growth profiles or customise values. Changing assumptions triggers a recalculation on the fly.</w:t>
      </w:r>
    </w:p>
    <w:p>
      <w:pPr>
        <w:numPr>
          <w:ilvl w:val="0"/>
          <w:numId w:val="1004"/>
        </w:numPr>
      </w:pPr>
      <w:r>
        <w:rPr>
          <w:b/>
          <w:bCs/>
        </w:rPr>
        <w:t xml:space="preserve">Recommended Deals table.</w:t>
      </w:r>
      <w:r>
        <w:t xml:space="preserve"> </w:t>
      </w:r>
      <w:r>
        <w:t xml:space="preserve">Columns include:</w:t>
      </w:r>
    </w:p>
    <w:p>
      <w:pPr>
        <w:pStyle w:val="Compact"/>
        <w:numPr>
          <w:ilvl w:val="0"/>
          <w:numId w:val="1004"/>
        </w:numPr>
      </w:pPr>
      <w:r>
        <w:t xml:space="preserve">MLS # (clickable to open a detail modal)</w:t>
      </w:r>
    </w:p>
    <w:p>
      <w:pPr>
        <w:pStyle w:val="Compact"/>
        <w:numPr>
          <w:ilvl w:val="0"/>
          <w:numId w:val="1004"/>
        </w:numPr>
      </w:pPr>
      <w:r>
        <w:t xml:space="preserve">Address</w:t>
      </w:r>
    </w:p>
    <w:p>
      <w:pPr>
        <w:pStyle w:val="Compact"/>
        <w:numPr>
          <w:ilvl w:val="0"/>
          <w:numId w:val="1004"/>
        </w:numPr>
      </w:pPr>
      <w:r>
        <w:t xml:space="preserve">Property Type</w:t>
      </w:r>
    </w:p>
    <w:p>
      <w:pPr>
        <w:pStyle w:val="Compact"/>
        <w:numPr>
          <w:ilvl w:val="0"/>
          <w:numId w:val="1004"/>
        </w:numPr>
      </w:pPr>
      <w:r>
        <w:t xml:space="preserve">Beds/Baths</w:t>
      </w:r>
    </w:p>
    <w:p>
      <w:pPr>
        <w:pStyle w:val="Compact"/>
        <w:numPr>
          <w:ilvl w:val="0"/>
          <w:numId w:val="1004"/>
        </w:numPr>
      </w:pPr>
      <w:r>
        <w:t xml:space="preserve">List Price</w:t>
      </w:r>
    </w:p>
    <w:p>
      <w:pPr>
        <w:pStyle w:val="Compact"/>
        <w:numPr>
          <w:ilvl w:val="0"/>
          <w:numId w:val="1004"/>
        </w:numPr>
      </w:pPr>
      <w:r>
        <w:t xml:space="preserve">Estimated Rent (scenario‑specific)</w:t>
      </w:r>
    </w:p>
    <w:p>
      <w:pPr>
        <w:pStyle w:val="Compact"/>
        <w:numPr>
          <w:ilvl w:val="0"/>
          <w:numId w:val="1004"/>
        </w:numPr>
      </w:pPr>
      <w:r>
        <w:t xml:space="preserve">NOI</w:t>
      </w:r>
    </w:p>
    <w:p>
      <w:pPr>
        <w:pStyle w:val="Compact"/>
        <w:numPr>
          <w:ilvl w:val="0"/>
          <w:numId w:val="1004"/>
        </w:numPr>
      </w:pPr>
      <w:r>
        <w:t xml:space="preserve">Entry Cap Rate</w:t>
      </w:r>
    </w:p>
    <w:p>
      <w:pPr>
        <w:pStyle w:val="Compact"/>
        <w:numPr>
          <w:ilvl w:val="0"/>
          <w:numId w:val="1004"/>
        </w:numPr>
      </w:pPr>
      <w:r>
        <w:t xml:space="preserve">Stabilised Cap Rate (if applicable)</w:t>
      </w:r>
    </w:p>
    <w:p>
      <w:pPr>
        <w:pStyle w:val="Compact"/>
        <w:numPr>
          <w:ilvl w:val="0"/>
          <w:numId w:val="1004"/>
        </w:numPr>
      </w:pPr>
      <w:r>
        <w:t xml:space="preserve">Risk Flags (icons or colour indicators)</w:t>
      </w:r>
    </w:p>
    <w:p>
      <w:pPr>
        <w:pStyle w:val="Compact"/>
        <w:numPr>
          <w:ilvl w:val="0"/>
          <w:numId w:val="1004"/>
        </w:numPr>
      </w:pPr>
      <w:r>
        <w:t xml:space="preserve">Optionality Tags (e.g., “Large lot,” “In‑law potential”)</w:t>
      </w:r>
    </w:p>
    <w:p>
      <w:pPr>
        <w:pStyle w:val="FirstParagraph"/>
      </w:pPr>
      <w:r>
        <w:t xml:space="preserve">Rows are sortable by cap rate or score and filterable (price range, bedroom count, DOM).</w:t>
      </w:r>
    </w:p>
    <w:p>
      <w:pPr>
        <w:numPr>
          <w:ilvl w:val="0"/>
          <w:numId w:val="1005"/>
        </w:numPr>
      </w:pPr>
      <w:r>
        <w:rPr>
          <w:b/>
          <w:bCs/>
        </w:rPr>
        <w:t xml:space="preserve">Watchlist table.</w:t>
      </w:r>
      <w:r>
        <w:t xml:space="preserve"> </w:t>
      </w:r>
      <w:r>
        <w:t xml:space="preserve">Same columns as Recommended but with an extra “Reasons for Watchlist” column summarising outstanding verification needs (e.g., HOA fee unknown, condition uncertain, ADU permit required).</w:t>
      </w:r>
    </w:p>
    <w:p>
      <w:pPr>
        <w:numPr>
          <w:ilvl w:val="0"/>
          <w:numId w:val="1005"/>
        </w:numPr>
      </w:pPr>
      <w:r>
        <w:rPr>
          <w:b/>
          <w:bCs/>
        </w:rPr>
        <w:t xml:space="preserve">Optionality table.</w:t>
      </w:r>
      <w:r>
        <w:t xml:space="preserve"> </w:t>
      </w:r>
      <w:r>
        <w:t xml:space="preserve">Focuses on deals that do not meet cap‑rate thresholds but offer unique upside. Columns include optionality description, required verification and potential upside mechanism.</w:t>
      </w:r>
    </w:p>
    <w:p>
      <w:pPr>
        <w:numPr>
          <w:ilvl w:val="0"/>
          <w:numId w:val="1005"/>
        </w:numPr>
      </w:pPr>
      <w:r>
        <w:rPr>
          <w:b/>
          <w:bCs/>
        </w:rPr>
        <w:t xml:space="preserve">Off‑Market Pipeline section.</w:t>
      </w:r>
      <w:r>
        <w:t xml:space="preserve"> </w:t>
      </w:r>
      <w:r>
        <w:t xml:space="preserve">Provides guidance rather than data: bullet points describing target owner profiles, identification filters (long tenure, absentee, large lot) and recommended outreach tactics (personal letters, code‑violation monitoring). In future versions it can link to an</w:t>
      </w:r>
      <w:r>
        <w:t xml:space="preserve"> </w:t>
      </w:r>
      <w:r>
        <w:rPr>
          <w:rStyle w:val="VerbatimChar"/>
        </w:rPr>
        <w:t xml:space="preserve">OffMarketLeads</w:t>
      </w:r>
      <w:r>
        <w:t xml:space="preserve"> </w:t>
      </w:r>
      <w:r>
        <w:t xml:space="preserve">page listing individual leads.</w:t>
      </w:r>
    </w:p>
    <w:p>
      <w:pPr>
        <w:numPr>
          <w:ilvl w:val="0"/>
          <w:numId w:val="1005"/>
        </w:numPr>
      </w:pPr>
      <w:r>
        <w:rPr>
          <w:b/>
          <w:bCs/>
        </w:rPr>
        <w:t xml:space="preserve">Risk &amp; Verification checklist.</w:t>
      </w:r>
      <w:r>
        <w:t xml:space="preserve"> </w:t>
      </w:r>
      <w:r>
        <w:t xml:space="preserve">Summarises key risks for the strategy (e.g., permitting risk, HOA restrictions, rent‑control uncertainty). For each recommended or watchlist deal, clicking the risk icon opens a modal detailing outstanding due‑diligence items.</w:t>
      </w:r>
    </w:p>
    <w:bookmarkEnd w:id="32"/>
    <w:bookmarkStart w:id="33" w:name="upload-settings-tab"/>
    <w:p>
      <w:pPr>
        <w:pStyle w:val="Heading3"/>
      </w:pPr>
      <w:r>
        <w:t xml:space="preserve">4.3 Upload / Settings Tab</w:t>
      </w:r>
    </w:p>
    <w:p>
      <w:pPr>
        <w:pStyle w:val="FirstParagraph"/>
      </w:pPr>
      <w:r>
        <w:t xml:space="preserve">This tab allows users to:</w:t>
      </w:r>
    </w:p>
    <w:p>
      <w:pPr>
        <w:pStyle w:val="Compact"/>
        <w:numPr>
          <w:ilvl w:val="0"/>
          <w:numId w:val="1006"/>
        </w:numPr>
      </w:pPr>
      <w:r>
        <w:t xml:space="preserve">Upload new MLS data files (CSV or text). A progress indicator shows parsing status. Files are stored with metadata (upload date, number of records, processing outcomes).</w:t>
      </w:r>
    </w:p>
    <w:p>
      <w:pPr>
        <w:pStyle w:val="Compact"/>
        <w:numPr>
          <w:ilvl w:val="0"/>
          <w:numId w:val="1006"/>
        </w:numPr>
      </w:pPr>
      <w:r>
        <w:t xml:space="preserve">Adjust global underwriting assumptions such as rent curves, expense ratios, vacancy rates, tax rates and financing terms. Changes apply across all strategy tabs.</w:t>
      </w:r>
    </w:p>
    <w:p>
      <w:pPr>
        <w:pStyle w:val="Compact"/>
        <w:numPr>
          <w:ilvl w:val="0"/>
          <w:numId w:val="1006"/>
        </w:numPr>
      </w:pPr>
      <w:r>
        <w:t xml:space="preserve">View import history and revert to a prior dataset if necessary.</w:t>
      </w:r>
    </w:p>
    <w:bookmarkEnd w:id="33"/>
    <w:bookmarkEnd w:id="34"/>
    <w:bookmarkStart w:id="35" w:name="upload-and-refresh-pipeline"/>
    <w:p>
      <w:pPr>
        <w:pStyle w:val="Heading2"/>
      </w:pPr>
      <w:r>
        <w:t xml:space="preserve">5 Upload and Refresh Pipeline</w:t>
      </w:r>
    </w:p>
    <w:p>
      <w:pPr>
        <w:numPr>
          <w:ilvl w:val="0"/>
          <w:numId w:val="1007"/>
        </w:numPr>
      </w:pPr>
      <w:r>
        <w:rPr>
          <w:b/>
          <w:bCs/>
        </w:rPr>
        <w:t xml:space="preserve">User upload</w:t>
      </w:r>
      <w:r>
        <w:t xml:space="preserve"> </w:t>
      </w:r>
      <w:r>
        <w:t xml:space="preserve">– The user selects an MLS export file via the Upload tab. The file is sent to the server through secure upload.</w:t>
      </w:r>
    </w:p>
    <w:p>
      <w:pPr>
        <w:numPr>
          <w:ilvl w:val="0"/>
          <w:numId w:val="1007"/>
        </w:numPr>
      </w:pPr>
      <w:r>
        <w:rPr>
          <w:b/>
          <w:bCs/>
        </w:rPr>
        <w:t xml:space="preserve">Parsing and cleaning</w:t>
      </w:r>
      <w:r>
        <w:t xml:space="preserve"> </w:t>
      </w:r>
      <w:r>
        <w:t xml:space="preserve">– A server‑side job reads the file, normalises column names, removes currency symbols and commas, parses dates into standard format, and stores raw data into</w:t>
      </w:r>
      <w:r>
        <w:t xml:space="preserve"> </w:t>
      </w:r>
      <w:r>
        <w:rPr>
          <w:rStyle w:val="VerbatimChar"/>
        </w:rPr>
        <w:t xml:space="preserve">MLSListings</w:t>
      </w:r>
      <w:r>
        <w:t xml:space="preserve">. Cleaning rules mirror those used in the analytical project.</w:t>
      </w:r>
    </w:p>
    <w:p>
      <w:pPr>
        <w:numPr>
          <w:ilvl w:val="0"/>
          <w:numId w:val="1007"/>
        </w:numPr>
      </w:pPr>
      <w:r>
        <w:rPr>
          <w:b/>
          <w:bCs/>
        </w:rPr>
        <w:t xml:space="preserve">Derivation and classification</w:t>
      </w:r>
      <w:r>
        <w:t xml:space="preserve"> </w:t>
      </w:r>
      <w:r>
        <w:t xml:space="preserve">– The job computes derived metrics, detects optionality flags using natural‑language search and numeric thresholds, and stores results in</w:t>
      </w:r>
      <w:r>
        <w:t xml:space="preserve"> </w:t>
      </w:r>
      <w:r>
        <w:rPr>
          <w:rStyle w:val="VerbatimChar"/>
        </w:rPr>
        <w:t xml:space="preserve">DerivedMetrics</w:t>
      </w:r>
      <w:r>
        <w:t xml:space="preserve">.</w:t>
      </w:r>
    </w:p>
    <w:p>
      <w:pPr>
        <w:numPr>
          <w:ilvl w:val="0"/>
          <w:numId w:val="1007"/>
        </w:numPr>
      </w:pPr>
      <w:r>
        <w:rPr>
          <w:b/>
          <w:bCs/>
        </w:rPr>
        <w:t xml:space="preserve">Strategy screening</w:t>
      </w:r>
      <w:r>
        <w:t xml:space="preserve"> </w:t>
      </w:r>
      <w:r>
        <w:t xml:space="preserve">– Using the</w:t>
      </w:r>
      <w:r>
        <w:t xml:space="preserve"> </w:t>
      </w:r>
      <w:r>
        <w:rPr>
          <w:rStyle w:val="VerbatimChar"/>
        </w:rPr>
        <w:t xml:space="preserve">Assumptions</w:t>
      </w:r>
      <w:r>
        <w:t xml:space="preserve"> </w:t>
      </w:r>
      <w:r>
        <w:t xml:space="preserve">and</w:t>
      </w:r>
      <w:r>
        <w:t xml:space="preserve"> </w:t>
      </w:r>
      <w:r>
        <w:rPr>
          <w:rStyle w:val="VerbatimChar"/>
        </w:rPr>
        <w:t xml:space="preserve">ScreeningParameters</w:t>
      </w:r>
      <w:r>
        <w:t xml:space="preserve"> </w:t>
      </w:r>
      <w:r>
        <w:t xml:space="preserve">tables, the system calculates NOI, cap rates and scores for each scenario and assigns deals to strategies (Recommended or Watchlist). Results are saved to</w:t>
      </w:r>
      <w:r>
        <w:t xml:space="preserve"> </w:t>
      </w:r>
      <w:r>
        <w:rPr>
          <w:rStyle w:val="VerbatimChar"/>
        </w:rPr>
        <w:t xml:space="preserve">ScreeningResults</w:t>
      </w:r>
      <w:r>
        <w:t xml:space="preserve"> </w:t>
      </w:r>
      <w:r>
        <w:t xml:space="preserve">and cross‑referenced with</w:t>
      </w:r>
      <w:r>
        <w:t xml:space="preserve"> </w:t>
      </w:r>
      <w:r>
        <w:rPr>
          <w:rStyle w:val="VerbatimChar"/>
        </w:rPr>
        <w:t xml:space="preserve">DerivedMetrics</w:t>
      </w:r>
      <w:r>
        <w:t xml:space="preserve">.</w:t>
      </w:r>
    </w:p>
    <w:p>
      <w:pPr>
        <w:numPr>
          <w:ilvl w:val="0"/>
          <w:numId w:val="1007"/>
        </w:numPr>
      </w:pPr>
      <w:r>
        <w:rPr>
          <w:b/>
          <w:bCs/>
        </w:rPr>
        <w:t xml:space="preserve">Cache invalidation &amp; notification</w:t>
      </w:r>
      <w:r>
        <w:t xml:space="preserve"> </w:t>
      </w:r>
      <w:r>
        <w:t xml:space="preserve">– Once processing completes, the backend updates a cache of query results used by the front‑end and notifies the client to refresh the displayed data. The timestamp of the import and the number of listings processed appear on the Dashboard.</w:t>
      </w:r>
    </w:p>
    <w:p>
      <w:pPr>
        <w:numPr>
          <w:ilvl w:val="0"/>
          <w:numId w:val="1007"/>
        </w:numPr>
      </w:pPr>
      <w:r>
        <w:rPr>
          <w:b/>
          <w:bCs/>
        </w:rPr>
        <w:t xml:space="preserve">Historical tracking</w:t>
      </w:r>
      <w:r>
        <w:t xml:space="preserve"> </w:t>
      </w:r>
      <w:r>
        <w:t xml:space="preserve">– Each import is versioned; users can view metrics at the time of import and compare trends over time. If a new import produces errors, the app can revert to a previous dataset.</w:t>
      </w:r>
    </w:p>
    <w:bookmarkEnd w:id="35"/>
    <w:bookmarkStart w:id="36" w:name="extensibility-considerations"/>
    <w:p>
      <w:pPr>
        <w:pStyle w:val="Heading2"/>
      </w:pPr>
      <w:r>
        <w:t xml:space="preserve">6 Extensibility Considerations</w:t>
      </w:r>
    </w:p>
    <w:p>
      <w:pPr>
        <w:pStyle w:val="Compact"/>
        <w:numPr>
          <w:ilvl w:val="0"/>
          <w:numId w:val="1008"/>
        </w:numPr>
      </w:pPr>
      <w:r>
        <w:rPr>
          <w:b/>
          <w:bCs/>
        </w:rPr>
        <w:t xml:space="preserve">Third‑party data integration:</w:t>
      </w:r>
      <w:r>
        <w:t xml:space="preserve"> </w:t>
      </w:r>
      <w:r>
        <w:t xml:space="preserve">The pipeline can be extended to pull assessor records, code‑violation logs or GIS data to enrich the off‑market pipeline. API connectors should respect privacy laws and usage terms.</w:t>
      </w:r>
    </w:p>
    <w:p>
      <w:pPr>
        <w:pStyle w:val="Compact"/>
        <w:numPr>
          <w:ilvl w:val="0"/>
          <w:numId w:val="1008"/>
        </w:numPr>
      </w:pPr>
      <w:r>
        <w:rPr>
          <w:b/>
          <w:bCs/>
        </w:rPr>
        <w:t xml:space="preserve">User accounts &amp; permissions:</w:t>
      </w:r>
      <w:r>
        <w:t xml:space="preserve"> </w:t>
      </w:r>
      <w:r>
        <w:t xml:space="preserve">In a multi‑user setting, roles (analyst, manager, administrator) can control who can upload data, adjust assumptions or see off‑market leads.</w:t>
      </w:r>
    </w:p>
    <w:p>
      <w:pPr>
        <w:pStyle w:val="Compact"/>
        <w:numPr>
          <w:ilvl w:val="0"/>
          <w:numId w:val="1008"/>
        </w:numPr>
      </w:pPr>
      <w:r>
        <w:rPr>
          <w:b/>
          <w:bCs/>
        </w:rPr>
        <w:t xml:space="preserve">Machine learning enhancements:</w:t>
      </w:r>
      <w:r>
        <w:t xml:space="preserve"> </w:t>
      </w:r>
      <w:r>
        <w:t xml:space="preserve">Optionality detection can evolve beyond keyword search using NLP models to identify phrases indicating ADU or redevelopment potential.</w:t>
      </w:r>
    </w:p>
    <w:p>
      <w:pPr>
        <w:pStyle w:val="Compact"/>
        <w:numPr>
          <w:ilvl w:val="0"/>
          <w:numId w:val="1008"/>
        </w:numPr>
      </w:pPr>
      <w:r>
        <w:rPr>
          <w:b/>
          <w:bCs/>
        </w:rPr>
        <w:t xml:space="preserve">Export &amp; reporting:</w:t>
      </w:r>
      <w:r>
        <w:t xml:space="preserve"> </w:t>
      </w:r>
      <w:r>
        <w:t xml:space="preserve">Provide export functions (CSV, PDF) to generate deal sheets or memoranda for investors. Leverage the existing Markdown and PPTX generation scripts as templates.</w:t>
      </w:r>
    </w:p>
    <w:p>
      <w:r>
        <w:pict>
          <v:rect style="width:0;height:1.5pt" o:hralign="center" o:hrstd="t" o:hr="t"/>
        </w:pict>
      </w:r>
    </w:p>
    <w:p>
      <w:pPr>
        <w:pStyle w:val="FirstParagraph"/>
      </w:pPr>
      <w:r>
        <w:t xml:space="preserve">This specification translates the analytical work performed on the Marlborough MLS dataset into a practical application blueprint. The tab‑driven design mirrors the investment strategies defined earlier, enabling investors to move seamlessly from high‑level market insights to specific deal opportunities, while the upload pipeline ensures that all computations are automatically refreshed as new data arrives.</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2026-02-03T01:54:38Z</dcterms:created>
  <dcterms:modified xsi:type="dcterms:W3CDTF">2026-02-03T01:54:38Z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