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Xe2b333779ed85bb47abc9cb5ed18363739d6457"/>
    <w:p>
      <w:pPr>
        <w:pStyle w:val="Heading1"/>
      </w:pPr>
      <w:r>
        <w:t xml:space="preserve">Marlborough Real‑Estate Investment Strategies (2026)</w:t>
      </w:r>
    </w:p>
    <w:bookmarkStart w:id="23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Marlborough, Massachusetts sits at the centre of the state’s life‑science and</w:t>
      </w:r>
      <w:r>
        <w:t xml:space="preserve"> </w:t>
      </w:r>
      <w:r>
        <w:t xml:space="preserve">technology corridor. A surge in high‑paying jobs, a limited supply of</w:t>
      </w:r>
      <w:r>
        <w:t xml:space="preserve"> </w:t>
      </w:r>
      <w:r>
        <w:t xml:space="preserve">new housing and favourable tax policies have driven home values and rents</w:t>
      </w:r>
      <w:r>
        <w:t xml:space="preserve"> </w:t>
      </w:r>
      <w:r>
        <w:t xml:space="preserve">sharply higher over the last five years. Our analysis of the MLS data</w:t>
      </w:r>
      <w:r>
        <w:t xml:space="preserve"> </w:t>
      </w:r>
      <w:r>
        <w:t xml:space="preserve">revealed that median sale prices in 2025 were roughly</w:t>
      </w:r>
      <w:r>
        <w:t xml:space="preserve"> </w:t>
      </w:r>
      <w:r>
        <w:rPr>
          <w:b/>
          <w:bCs/>
        </w:rPr>
        <w:t xml:space="preserve">\$595 k for</w:t>
      </w:r>
      <w:r>
        <w:rPr>
          <w:b/>
          <w:bCs/>
        </w:rPr>
        <w:t xml:space="preserve"> </w:t>
      </w:r>
      <w:r>
        <w:rPr>
          <w:b/>
          <w:bCs/>
        </w:rPr>
        <w:t xml:space="preserve">single‑family homes</w:t>
      </w:r>
      <w:r>
        <w:t xml:space="preserve">,</w:t>
      </w:r>
      <w:r>
        <w:t xml:space="preserve"> </w:t>
      </w:r>
      <w:r>
        <w:rPr>
          <w:b/>
          <w:bCs/>
        </w:rPr>
        <w:t xml:space="preserve">\$735 k for multi‑family properties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\$438 k</w:t>
      </w:r>
      <w:r>
        <w:rPr>
          <w:b/>
          <w:bCs/>
        </w:rPr>
        <w:t xml:space="preserve"> </w:t>
      </w:r>
      <w:r>
        <w:rPr>
          <w:b/>
          <w:bCs/>
        </w:rPr>
        <w:t xml:space="preserve">for condos</w:t>
      </w:r>
      <w:r>
        <w:t xml:space="preserve"> </w:t>
      </w:r>
      <w:r>
        <w:t xml:space="preserve">(data calculated from the provided MLS files). Rental</w:t>
      </w:r>
      <w:r>
        <w:t xml:space="preserve"> </w:t>
      </w:r>
      <w:r>
        <w:t xml:space="preserve">prices have risen even faster: median rents for one‑bed apartments jumped</w:t>
      </w:r>
      <w:r>
        <w:t xml:space="preserve"> </w:t>
      </w:r>
      <w:r>
        <w:t xml:space="preserve">from \$1.6 k in 2019–24 MLS data to around \$2.4 k in early 2026, while</w:t>
      </w:r>
      <w:r>
        <w:t xml:space="preserve"> </w:t>
      </w:r>
      <w:r>
        <w:t xml:space="preserve">studio rents increased 64 % over the same period</w:t>
      </w:r>
      <w:hyperlink r:id="rId21">
        <w:r>
          <w:rPr>
            <w:rStyle w:val="Hyperlink"/>
          </w:rPr>
          <w:t xml:space="preserve">[1]</w:t>
        </w:r>
      </w:hyperlink>
      <w:r>
        <w:t xml:space="preserve">. New</w:t>
      </w:r>
      <w:r>
        <w:t xml:space="preserve"> </w:t>
      </w:r>
      <w:r>
        <w:t xml:space="preserve">luxury projects such as Alta Marlborough and Green District phases 3–4</w:t>
      </w:r>
      <w:r>
        <w:t xml:space="preserve"> </w:t>
      </w:r>
      <w:r>
        <w:t xml:space="preserve">illustrate how quickly the market is evolving, with rents for two‑bed</w:t>
      </w:r>
      <w:r>
        <w:t xml:space="preserve"> </w:t>
      </w:r>
      <w:r>
        <w:t xml:space="preserve">units approaching \$3.3 k per month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To help investors navigate this dynamic environment, the following</w:t>
      </w:r>
      <w:r>
        <w:t xml:space="preserve"> </w:t>
      </w:r>
      <w:r>
        <w:t xml:space="preserve">strategies combine MLS data, current market rents and external research</w:t>
      </w:r>
      <w:r>
        <w:t xml:space="preserve"> </w:t>
      </w:r>
      <w:r>
        <w:t xml:space="preserve">to estimate typical cap‑rate ranges by property type and to outline</w:t>
      </w:r>
      <w:r>
        <w:t xml:space="preserve"> </w:t>
      </w:r>
      <w:r>
        <w:t xml:space="preserve">actionable approaches. Each strategy details ideal property traits,</w:t>
      </w:r>
      <w:r>
        <w:t xml:space="preserve"> </w:t>
      </w:r>
      <w:r>
        <w:t xml:space="preserve">capital requirements, target entry and stabilized cap rates, the expected</w:t>
      </w:r>
      <w:r>
        <w:t xml:space="preserve"> </w:t>
      </w:r>
      <w:r>
        <w:t xml:space="preserve">balance of cash flow vs appreciation, and the key regulatory and</w:t>
      </w:r>
      <w:r>
        <w:t xml:space="preserve"> </w:t>
      </w:r>
      <w:r>
        <w:t xml:space="preserve">execution risks.</w:t>
      </w:r>
    </w:p>
    <w:bookmarkEnd w:id="23"/>
    <w:bookmarkStart w:id="37" w:name="typical-caprate-ranges-by-property-type"/>
    <w:p>
      <w:pPr>
        <w:pStyle w:val="Heading2"/>
      </w:pPr>
      <w:r>
        <w:t xml:space="preserve">Typical cap‑rate ranges by property type</w:t>
      </w:r>
    </w:p>
    <w:p>
      <w:pPr>
        <w:pStyle w:val="FirstParagraph"/>
      </w:pPr>
      <w:r>
        <w:t xml:space="preserve">Cap rates represent the ratio of net operating income to purchase price.</w:t>
      </w:r>
      <w:r>
        <w:t xml:space="preserve"> </w:t>
      </w:r>
      <w:r>
        <w:t xml:space="preserve">Because Marlborough is a suburban extension of the Boston housing market,</w:t>
      </w:r>
      <w:r>
        <w:t xml:space="preserve"> </w:t>
      </w:r>
      <w:r>
        <w:t xml:space="preserve">its cap rates mirror the region’s generally low yields; Boston</w:t>
      </w:r>
      <w:r>
        <w:t xml:space="preserve"> </w:t>
      </w:r>
      <w:r>
        <w:t xml:space="preserve">properties average</w:t>
      </w:r>
      <w:r>
        <w:t xml:space="preserve"> </w:t>
      </w:r>
      <w:r>
        <w:rPr>
          <w:b/>
          <w:bCs/>
        </w:rPr>
        <w:t xml:space="preserve">3–6 % cap rates</w:t>
      </w:r>
      <w:hyperlink r:id="rId24">
        <w:r>
          <w:rPr>
            <w:rStyle w:val="Hyperlink"/>
          </w:rPr>
          <w:t xml:space="preserve">[3]</w:t>
        </w:r>
      </w:hyperlink>
      <w:r>
        <w:t xml:space="preserve">. National</w:t>
      </w:r>
      <w:r>
        <w:t xml:space="preserve"> </w:t>
      </w:r>
      <w:r>
        <w:t xml:space="preserve">multi‑family reports suggest Class A/B/C apartments trade between</w:t>
      </w:r>
      <w:r>
        <w:t xml:space="preserve"> </w:t>
      </w:r>
      <w:r>
        <w:rPr>
          <w:b/>
          <w:bCs/>
        </w:rPr>
        <w:t xml:space="preserve">5 and</w:t>
      </w:r>
      <w:r>
        <w:rPr>
          <w:b/>
          <w:bCs/>
        </w:rPr>
        <w:t xml:space="preserve"> </w:t>
      </w:r>
      <w:r>
        <w:rPr>
          <w:b/>
          <w:bCs/>
        </w:rPr>
        <w:t xml:space="preserve">7 %</w:t>
      </w:r>
      <w:hyperlink r:id="rId25">
        <w:r>
          <w:rPr>
            <w:rStyle w:val="Hyperlink"/>
          </w:rPr>
          <w:t xml:space="preserve">[4]</w:t>
        </w:r>
      </w:hyperlink>
      <w:r>
        <w:t xml:space="preserve">, while Boston multi‑family sales show</w:t>
      </w:r>
      <w:r>
        <w:t xml:space="preserve"> </w:t>
      </w:r>
      <w:r>
        <w:t xml:space="preserve">Class A cap rates of</w:t>
      </w:r>
      <w:r>
        <w:t xml:space="preserve"> </w:t>
      </w:r>
      <w:r>
        <w:rPr>
          <w:b/>
          <w:bCs/>
        </w:rPr>
        <w:t xml:space="preserve">4.8–5.5 %</w:t>
      </w:r>
      <w:r>
        <w:t xml:space="preserve">, Class B</w:t>
      </w:r>
      <w:r>
        <w:t xml:space="preserve"> </w:t>
      </w:r>
      <w:r>
        <w:rPr>
          <w:b/>
          <w:bCs/>
        </w:rPr>
        <w:t xml:space="preserve">5.5–6.5 %</w:t>
      </w:r>
      <w:r>
        <w:t xml:space="preserve"> </w:t>
      </w:r>
      <w:r>
        <w:t xml:space="preserve">and Class C</w:t>
      </w:r>
      <w:r>
        <w:t xml:space="preserve"> </w:t>
      </w:r>
      <w:r>
        <w:rPr>
          <w:b/>
          <w:bCs/>
        </w:rPr>
        <w:t xml:space="preserve">6.5–7.5 %</w:t>
      </w:r>
      <w:hyperlink r:id="rId26">
        <w:r>
          <w:rPr>
            <w:rStyle w:val="Hyperlink"/>
          </w:rPr>
          <w:t xml:space="preserve">[5]</w:t>
        </w:r>
      </w:hyperlink>
      <w:r>
        <w:t xml:space="preserve">. Adjusting for Marlborough’s</w:t>
      </w:r>
      <w:r>
        <w:t xml:space="preserve"> </w:t>
      </w:r>
      <w:r>
        <w:t xml:space="preserve">suburban character yields the following estimated ranges (Table 1). We</w:t>
      </w:r>
      <w:r>
        <w:t xml:space="preserve"> </w:t>
      </w:r>
      <w:r>
        <w:t xml:space="preserve">derive the entries by combining our rent assumptions (from the MLS and</w:t>
      </w:r>
      <w:r>
        <w:t xml:space="preserve"> </w:t>
      </w:r>
      <w:r>
        <w:t xml:space="preserve">external sources) with typical purchase prices and expense ratios; they</w:t>
      </w:r>
      <w:r>
        <w:t xml:space="preserve"> </w:t>
      </w:r>
      <w:r>
        <w:t xml:space="preserve">should be treated as approximate guides rather than precise forecasts.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Typical purchase price (2025)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rent (moderate assumption)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Expense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 entry cap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Stabilized cap rate (after improvements)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Single‑family rentals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\$550–650 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\$38 k/yr (3‑bed @ ≈\$3.2 k/mo)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≈4–5 %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5–6 %</w:t>
            </w:r>
          </w:p>
        </w:tc>
        <w:tc>
          <w:tcPr/>
          <w:p>
            <w:pPr>
              <w:pStyle w:val="Compact"/>
            </w:pPr>
            <w:r>
              <w:t xml:space="preserve">High purchase price relative to rent keeps cap rates low; home ownership appeal and limited supply support 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\$350–450 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\$29 k/yr (2‑bed @ ≈\$2.4 k/mo)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40 % (HOA fees)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≈3–4 %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4–5 %</w:t>
            </w:r>
          </w:p>
        </w:tc>
        <w:tc>
          <w:tcPr/>
          <w:p>
            <w:pPr>
              <w:pStyle w:val="Compact"/>
            </w:pPr>
            <w:r>
              <w:t xml:space="preserve">HOA dues and small unit sizes compress cap rates; appreciation driven by demand for turnkey housing.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multi‑family (2–4 units)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\$650–900 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\$70 k/yr (two units @ ≈\$2.9 k; one unit @ ≈\$3.2 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≈5.5–6.5 %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6.5–7.5 %</w:t>
            </w:r>
          </w:p>
        </w:tc>
        <w:tc>
          <w:tcPr/>
          <w:p>
            <w:pPr>
              <w:pStyle w:val="Compact"/>
            </w:pPr>
            <w:r>
              <w:t xml:space="preserve">Economies of scale and ability to spread expenses across units produce higher yields; cap rates align with regional Class B/C ranges</w:t>
            </w:r>
            <w:hyperlink r:id="rId26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Larger multi‑family (5–10 units)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\$1–2 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\$120–240 k/yr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≈6–7 %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7–8 %</w:t>
            </w:r>
          </w:p>
        </w:tc>
        <w:tc>
          <w:tcPr/>
          <w:p>
            <w:pPr>
              <w:pStyle w:val="Compact"/>
            </w:pPr>
            <w:r>
              <w:t xml:space="preserve">Greater unit count and potential for professional management support higher caps; local investor interest drives pricing.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Development/redevelopment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 (land + construction)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 until lease‑up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Target 10–12 % IRR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7–8 % stabilized cap</w:t>
            </w:r>
          </w:p>
        </w:tc>
        <w:tc>
          <w:tcPr/>
          <w:p>
            <w:pPr>
              <w:pStyle w:val="Compact"/>
            </w:pPr>
            <w:r>
              <w:t xml:space="preserve">Requires high returns to compensate for entitlement and construction risk; once stabilised, yields similar to multi‑family but with significant capital gain.</w:t>
            </w:r>
          </w:p>
        </w:tc>
      </w:tr>
    </w:tbl>
    <w:bookmarkStart w:id="36" w:name="factors-influencing-cap-rates"/>
    <w:p>
      <w:pPr>
        <w:pStyle w:val="Heading3"/>
      </w:pPr>
      <w:r>
        <w:t xml:space="preserve">Factors influencing cap rates</w:t>
      </w:r>
    </w:p>
    <w:p>
      <w:pPr>
        <w:pStyle w:val="FirstParagraph"/>
      </w:pPr>
      <w:r>
        <w:t xml:space="preserve">Several macro and local factors compress or expand cap rates in</w:t>
      </w:r>
      <w:r>
        <w:t xml:space="preserve"> </w:t>
      </w:r>
      <w:r>
        <w:t xml:space="preserve">Marlborough: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 rates and capital markets</w:t>
      </w:r>
      <w:r>
        <w:t xml:space="preserve"> </w:t>
      </w:r>
      <w:r>
        <w:t xml:space="preserve">– Mortgage rates hovered around 6 %</w:t>
      </w:r>
      <w:r>
        <w:t xml:space="preserve"> </w:t>
      </w:r>
      <w:r>
        <w:t xml:space="preserve">in 2024–25, higher than during the 2021 boom, applying upward</w:t>
      </w:r>
      <w:r>
        <w:t xml:space="preserve"> </w:t>
      </w:r>
      <w:r>
        <w:t xml:space="preserve">pressure on cap rates</w:t>
      </w:r>
      <w:hyperlink r:id="rId26">
        <w:r>
          <w:rPr>
            <w:rStyle w:val="Hyperlink"/>
          </w:rPr>
          <w:t xml:space="preserve">[6]</w:t>
        </w:r>
      </w:hyperlink>
      <w:r>
        <w:t xml:space="preserve">. However, limited</w:t>
      </w:r>
      <w:r>
        <w:t xml:space="preserve"> </w:t>
      </w:r>
      <w:r>
        <w:t xml:space="preserve">inventory and strong demand have prevented cap rates from rising</w:t>
      </w:r>
      <w:r>
        <w:t xml:space="preserve"> </w:t>
      </w:r>
      <w:r>
        <w:t xml:space="preserve">significantly</w:t>
      </w:r>
      <w:hyperlink r:id="rId26">
        <w:r>
          <w:rPr>
            <w:rStyle w:val="Hyperlink"/>
          </w:rPr>
          <w:t xml:space="preserve">[6]</w:t>
        </w:r>
      </w:hyperlink>
      <w:r>
        <w:t xml:space="preserve">. Investors therefore</w:t>
      </w:r>
      <w:r>
        <w:t xml:space="preserve"> </w:t>
      </w:r>
      <w:r>
        <w:t xml:space="preserve">must weigh borrowing costs against rental growth when setting</w:t>
      </w:r>
      <w:r>
        <w:t xml:space="preserve"> </w:t>
      </w:r>
      <w:r>
        <w:t xml:space="preserve">return expectations.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Supply constraints and zoning</w:t>
      </w:r>
      <w:r>
        <w:t xml:space="preserve"> </w:t>
      </w:r>
      <w:r>
        <w:t xml:space="preserve">– Marlborough’s zoning code</w:t>
      </w:r>
      <w:r>
        <w:t xml:space="preserve"> </w:t>
      </w:r>
      <w:r>
        <w:t xml:space="preserve">restricts conversions: a single‑family house may be converted to a</w:t>
      </w:r>
      <w:r>
        <w:t xml:space="preserve"> </w:t>
      </w:r>
      <w:r>
        <w:t xml:space="preserve">two‑family only if it has at least 1,800 sq ft of gross floor area and</w:t>
      </w:r>
      <w:r>
        <w:t xml:space="preserve"> </w:t>
      </w:r>
      <w:r>
        <w:t xml:space="preserve">sits on a lot of 15,000 sq ft in the Rural Residence district or</w:t>
      </w:r>
      <w:r>
        <w:t xml:space="preserve"> </w:t>
      </w:r>
      <w:r>
        <w:t xml:space="preserve">10,000 sq ft in Residence A</w:t>
      </w:r>
      <w:hyperlink r:id="rId27">
        <w:r>
          <w:rPr>
            <w:rStyle w:val="Hyperlink"/>
          </w:rPr>
          <w:t xml:space="preserve">[7]</w:t>
        </w:r>
      </w:hyperlink>
      <w:r>
        <w:t xml:space="preserve">. Multi‑family</w:t>
      </w:r>
      <w:r>
        <w:t xml:space="preserve"> </w:t>
      </w:r>
      <w:r>
        <w:t xml:space="preserve">developments must provide landscaped areas and separation between</w:t>
      </w:r>
      <w:r>
        <w:t xml:space="preserve"> </w:t>
      </w:r>
      <w:r>
        <w:t xml:space="preserve">buildings</w:t>
      </w:r>
      <w:hyperlink r:id="rId28">
        <w:r>
          <w:rPr>
            <w:rStyle w:val="Hyperlink"/>
          </w:rPr>
          <w:t xml:space="preserve">[8]</w:t>
        </w:r>
      </w:hyperlink>
      <w:r>
        <w:t xml:space="preserve">. These rules limit new</w:t>
      </w:r>
      <w:r>
        <w:t xml:space="preserve"> </w:t>
      </w:r>
      <w:r>
        <w:t xml:space="preserve">construction, preserving high valuations.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Accessory Dwelling Units (ADUs)</w:t>
      </w:r>
      <w:r>
        <w:t xml:space="preserve"> </w:t>
      </w:r>
      <w:r>
        <w:t xml:space="preserve">– Massachusetts’ Affordable Homes</w:t>
      </w:r>
      <w:r>
        <w:t xml:space="preserve"> </w:t>
      </w:r>
      <w:r>
        <w:t xml:space="preserve">Act (effective 31 January 2025) allows homeowners to build ADUs up to</w:t>
      </w:r>
      <w:r>
        <w:t xml:space="preserve"> </w:t>
      </w:r>
      <w:r>
        <w:t xml:space="preserve">900 sq ft by right, prohibits owner‑occupancy requirements and caps</w:t>
      </w:r>
      <w:r>
        <w:t xml:space="preserve"> </w:t>
      </w:r>
      <w:r>
        <w:t xml:space="preserve">parking requirements</w:t>
      </w:r>
      <w:hyperlink r:id="rId29">
        <w:r>
          <w:rPr>
            <w:rStyle w:val="Hyperlink"/>
          </w:rPr>
          <w:t xml:space="preserve">[9]</w:t>
        </w:r>
      </w:hyperlink>
      <w:r>
        <w:t xml:space="preserve">. While this may add</w:t>
      </w:r>
      <w:r>
        <w:t xml:space="preserve"> </w:t>
      </w:r>
      <w:r>
        <w:t xml:space="preserve">modest supply, the small size of ADUs means it won’t materially</w:t>
      </w:r>
      <w:r>
        <w:t xml:space="preserve"> </w:t>
      </w:r>
      <w:r>
        <w:t xml:space="preserve">depress rents or property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Tenant protections</w:t>
      </w:r>
      <w:r>
        <w:t xml:space="preserve"> </w:t>
      </w:r>
      <w:r>
        <w:t xml:space="preserve">– Landlords may collect only first and last</w:t>
      </w:r>
      <w:r>
        <w:t xml:space="preserve"> </w:t>
      </w:r>
      <w:r>
        <w:t xml:space="preserve">month’s rent and a security deposit equal to one month’s rent, held</w:t>
      </w:r>
      <w:r>
        <w:t xml:space="preserve"> </w:t>
      </w:r>
      <w:r>
        <w:t xml:space="preserve">in an interest‑bearing account</w:t>
      </w:r>
      <w:hyperlink r:id="rId30">
        <w:r>
          <w:rPr>
            <w:rStyle w:val="Hyperlink"/>
          </w:rPr>
          <w:t xml:space="preserve">[10]</w:t>
        </w:r>
      </w:hyperlink>
      <w:r>
        <w:t xml:space="preserve">. Evictions</w:t>
      </w:r>
      <w:r>
        <w:t xml:space="preserve"> </w:t>
      </w:r>
      <w:r>
        <w:t xml:space="preserve">require judicial process, with 14‑day notice for non‑payment and</w:t>
      </w:r>
      <w:r>
        <w:t xml:space="preserve"> </w:t>
      </w:r>
      <w:r>
        <w:t xml:space="preserve">30‑day notice for other causes</w:t>
      </w:r>
      <w:hyperlink r:id="rId31">
        <w:r>
          <w:rPr>
            <w:rStyle w:val="Hyperlink"/>
          </w:rPr>
          <w:t xml:space="preserve">[11]</w:t>
        </w:r>
      </w:hyperlink>
      <w:r>
        <w:t xml:space="preserve">. A proposed</w:t>
      </w:r>
      <w:r>
        <w:t xml:space="preserve"> </w:t>
      </w:r>
      <w:r>
        <w:t xml:space="preserve">rent‑control initiative on the 2026 ballot would cap annual rent</w:t>
      </w:r>
      <w:r>
        <w:t xml:space="preserve"> </w:t>
      </w:r>
      <w:r>
        <w:t xml:space="preserve">increases at the lesser of the consumer‑price index or 5 %, with</w:t>
      </w:r>
      <w:r>
        <w:t xml:space="preserve"> </w:t>
      </w:r>
      <w:r>
        <w:t xml:space="preserve">exemptions for owner‑occupied buildings with four or fewer units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. Such regulations could reduce rent</w:t>
      </w:r>
      <w:r>
        <w:t xml:space="preserve"> </w:t>
      </w:r>
      <w:r>
        <w:t xml:space="preserve">growth, dampening future cap‑rate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 taxes</w:t>
      </w:r>
      <w:r>
        <w:t xml:space="preserve"> </w:t>
      </w:r>
      <w:r>
        <w:t xml:space="preserve">– Marlborough’s residential property tax rate has</w:t>
      </w:r>
      <w:r>
        <w:t xml:space="preserve"> </w:t>
      </w:r>
      <w:r>
        <w:t xml:space="preserve">declined from 13.12 per \$1,000 in FY 2022 to 10.54 in FY 2026</w:t>
      </w:r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. Lower taxes support net income and</w:t>
      </w:r>
      <w:r>
        <w:t xml:space="preserve"> </w:t>
      </w:r>
      <w:r>
        <w:t xml:space="preserve">effectively compress cap rates, while the commercial rate remains</w:t>
      </w:r>
      <w:r>
        <w:t xml:space="preserve"> </w:t>
      </w:r>
      <w:r>
        <w:t xml:space="preserve">higher (18.43 per \$1,000).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Economic drivers</w:t>
      </w:r>
      <w:r>
        <w:t xml:space="preserve"> </w:t>
      </w:r>
      <w:r>
        <w:t xml:space="preserve">– Life‑science companies such as Cytiva,</w:t>
      </w:r>
      <w:r>
        <w:t xml:space="preserve"> </w:t>
      </w:r>
      <w:r>
        <w:t xml:space="preserve">Boston Scientific, Quest Diagnostics and Sartorius have invested</w:t>
      </w:r>
      <w:r>
        <w:t xml:space="preserve"> </w:t>
      </w:r>
      <w:r>
        <w:t xml:space="preserve">hundreds of millions in Marlborough</w:t>
      </w:r>
      <w:hyperlink r:id="rId34">
        <w:r>
          <w:rPr>
            <w:rStyle w:val="Hyperlink"/>
          </w:rPr>
          <w:t xml:space="preserve">[14]</w:t>
        </w:r>
      </w:hyperlink>
      <w:r>
        <w:t xml:space="preserve">. Tax</w:t>
      </w:r>
      <w:r>
        <w:t xml:space="preserve"> </w:t>
      </w:r>
      <w:r>
        <w:t xml:space="preserve">Incentive Financing (TIF) agreements have drawn large projects like</w:t>
      </w:r>
      <w:r>
        <w:t xml:space="preserve"> </w:t>
      </w:r>
      <w:r>
        <w:t xml:space="preserve">Sartorius’s 63,000‑sq‑ft bioprocessing facility, bringing hundreds of</w:t>
      </w:r>
      <w:r>
        <w:t xml:space="preserve"> </w:t>
      </w:r>
      <w:r>
        <w:t xml:space="preserve">new jobs</w:t>
      </w:r>
      <w:hyperlink r:id="rId35">
        <w:r>
          <w:rPr>
            <w:rStyle w:val="Hyperlink"/>
          </w:rPr>
          <w:t xml:space="preserve">[15]</w:t>
        </w:r>
      </w:hyperlink>
      <w:r>
        <w:t xml:space="preserve">. These employers boost demand</w:t>
      </w:r>
      <w:r>
        <w:t xml:space="preserve"> </w:t>
      </w:r>
      <w:r>
        <w:t xml:space="preserve">for housing and underpin long‑term rent growth.</w:t>
      </w:r>
    </w:p>
    <w:bookmarkEnd w:id="36"/>
    <w:bookmarkEnd w:id="37"/>
    <w:bookmarkStart w:id="38" w:name="X469aa126c13ec603c20e361df40333cea0f04b0"/>
    <w:p>
      <w:pPr>
        <w:pStyle w:val="Heading2"/>
      </w:pPr>
      <w:r>
        <w:t xml:space="preserve">Strategy 1 – Core Buy‑and‑Hold (single‑family and condos)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Acquire newer or well‑maintained single‑family homes and</w:t>
      </w:r>
      <w:r>
        <w:t xml:space="preserve"> </w:t>
      </w:r>
      <w:r>
        <w:t xml:space="preserve">condominiums in stable neighbourhoods and hold them for long‑term</w:t>
      </w:r>
      <w:r>
        <w:t xml:space="preserve"> </w:t>
      </w:r>
      <w:r>
        <w:t xml:space="preserve">cash‑flow and appreciation.</w:t>
      </w:r>
    </w:p>
    <w:p>
      <w:pPr>
        <w:pStyle w:val="BodyText"/>
      </w:pPr>
      <w:r>
        <w:rPr>
          <w:b/>
          <w:bCs/>
        </w:rPr>
        <w:t xml:space="preserve">Ideal property characteristics:</w:t>
      </w:r>
      <w:r>
        <w:t xml:space="preserve"> </w:t>
      </w:r>
      <w:r>
        <w:t xml:space="preserve">2–4 bedroom detached houses or 1–2 bedroom</w:t>
      </w:r>
      <w:r>
        <w:t xml:space="preserve"> </w:t>
      </w:r>
      <w:r>
        <w:t xml:space="preserve">condos built after 1980; minimal deferred maintenance; located near</w:t>
      </w:r>
      <w:r>
        <w:t xml:space="preserve"> </w:t>
      </w:r>
      <w:r>
        <w:t xml:space="preserve">Marlborough’s life‑science employers and good schools. Condos should</w:t>
      </w:r>
      <w:r>
        <w:t xml:space="preserve"> </w:t>
      </w:r>
      <w:r>
        <w:t xml:space="preserve">have reasonable HOA dues and stable reserves.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Purchase prices of \$550–650 k for single‑family</w:t>
      </w:r>
      <w:r>
        <w:t xml:space="preserve"> </w:t>
      </w:r>
      <w:r>
        <w:t xml:space="preserve">houses and \$350–450 k for condos; 20–30 % down payment; 3–5 % closing</w:t>
      </w:r>
      <w:r>
        <w:t xml:space="preserve"> </w:t>
      </w:r>
      <w:r>
        <w:t xml:space="preserve">costs; reserves for vacancy and repairs. Total equity investment</w:t>
      </w:r>
      <w:r>
        <w:t xml:space="preserve"> </w:t>
      </w:r>
      <w:r>
        <w:t xml:space="preserve">\$120–200 k per house or \$80–120 k per condo.</w:t>
      </w:r>
    </w:p>
    <w:p>
      <w:pPr>
        <w:pStyle w:val="BodyText"/>
      </w:pPr>
      <w:r>
        <w:rPr>
          <w:b/>
          <w:bCs/>
        </w:rPr>
        <w:t xml:space="preserve">Target entry cap rate:</w:t>
      </w:r>
      <w:r>
        <w:t xml:space="preserve"> </w:t>
      </w:r>
      <w:r>
        <w:t xml:space="preserve">Around</w:t>
      </w:r>
      <w:r>
        <w:t xml:space="preserve"> </w:t>
      </w:r>
      <w:r>
        <w:rPr>
          <w:b/>
          <w:bCs/>
        </w:rPr>
        <w:t xml:space="preserve">4–5 %</w:t>
      </w:r>
      <w:r>
        <w:t xml:space="preserve"> </w:t>
      </w:r>
      <w:r>
        <w:t xml:space="preserve">for single‑family houses and</w:t>
      </w:r>
      <w:r>
        <w:t xml:space="preserve"> </w:t>
      </w:r>
      <w:r>
        <w:rPr>
          <w:b/>
          <w:bCs/>
        </w:rPr>
        <w:t xml:space="preserve">3–4 %</w:t>
      </w:r>
      <w:r>
        <w:t xml:space="preserve"> </w:t>
      </w:r>
      <w:r>
        <w:t xml:space="preserve">for condos, based on moderate rents (≈\$3.2 k/mo for a</w:t>
      </w:r>
      <w:r>
        <w:t xml:space="preserve"> </w:t>
      </w:r>
      <w:r>
        <w:t xml:space="preserve">3‑bed house and ≈\$2.4 k/mo for a 2‑bed condo) and typical expense</w:t>
      </w:r>
      <w:r>
        <w:t xml:space="preserve"> </w:t>
      </w:r>
      <w:r>
        <w:t xml:space="preserve">ratios.</w:t>
      </w:r>
    </w:p>
    <w:p>
      <w:pPr>
        <w:pStyle w:val="BodyText"/>
      </w:pPr>
      <w:r>
        <w:rPr>
          <w:b/>
          <w:bCs/>
        </w:rPr>
        <w:t xml:space="preserve">Target stabilised cap rate:</w:t>
      </w:r>
      <w:r>
        <w:t xml:space="preserve"> </w:t>
      </w:r>
      <w:r>
        <w:rPr>
          <w:b/>
          <w:bCs/>
        </w:rPr>
        <w:t xml:space="preserve">4.5–5.5 %</w:t>
      </w:r>
      <w:r>
        <w:t xml:space="preserve"> </w:t>
      </w:r>
      <w:r>
        <w:t xml:space="preserve">for houses and</w:t>
      </w:r>
      <w:r>
        <w:t xml:space="preserve"> </w:t>
      </w:r>
      <w:r>
        <w:rPr>
          <w:b/>
          <w:bCs/>
        </w:rPr>
        <w:t xml:space="preserve">3.5–4.5 %</w:t>
      </w:r>
      <w:r>
        <w:t xml:space="preserve"> </w:t>
      </w:r>
      <w:r>
        <w:t xml:space="preserve">for condos as incremental rent increases and appreciation improve the</w:t>
      </w:r>
      <w:r>
        <w:t xml:space="preserve"> </w:t>
      </w:r>
      <w:r>
        <w:t xml:space="preserve">income‑to‑value ratio.</w:t>
      </w:r>
    </w:p>
    <w:p>
      <w:pPr>
        <w:pStyle w:val="BodyText"/>
      </w:pPr>
      <w:r>
        <w:rPr>
          <w:b/>
          <w:bCs/>
        </w:rPr>
        <w:t xml:space="preserve">Expected cash flow vs appreciation:</w:t>
      </w:r>
      <w:r>
        <w:t xml:space="preserve"> </w:t>
      </w:r>
      <w:r>
        <w:t xml:space="preserve">Modest cash flows due to high</w:t>
      </w:r>
      <w:r>
        <w:t xml:space="preserve"> </w:t>
      </w:r>
      <w:r>
        <w:t xml:space="preserve">purchase prices; long‑term wealth is primarily generated through</w:t>
      </w:r>
      <w:r>
        <w:t xml:space="preserve"> </w:t>
      </w:r>
      <w:r>
        <w:t xml:space="preserve">appreciation driven by supply constraints and demand from</w:t>
      </w:r>
      <w:r>
        <w:t xml:space="preserve"> </w:t>
      </w:r>
      <w:r>
        <w:t xml:space="preserve">professionals. Lower property taxes and stable rents support</w:t>
      </w:r>
      <w:r>
        <w:t xml:space="preserve"> </w:t>
      </w:r>
      <w:r>
        <w:t xml:space="preserve">predictable income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Regulatory and execution risks:</w:t>
      </w:r>
      <w:r>
        <w:t xml:space="preserve"> </w:t>
      </w:r>
      <w:r>
        <w:t xml:space="preserve">Tenant protections limit the ability</w:t>
      </w:r>
      <w:r>
        <w:t xml:space="preserve"> </w:t>
      </w:r>
      <w:r>
        <w:t xml:space="preserve">to evict delinquent tenants</w:t>
      </w:r>
      <w:hyperlink r:id="rId31">
        <w:r>
          <w:rPr>
            <w:rStyle w:val="Hyperlink"/>
          </w:rPr>
          <w:t xml:space="preserve">[11]</w:t>
        </w:r>
      </w:hyperlink>
      <w:r>
        <w:t xml:space="preserve">; the 2026</w:t>
      </w:r>
      <w:r>
        <w:t xml:space="preserve"> </w:t>
      </w:r>
      <w:r>
        <w:t xml:space="preserve">rent‑control proposal could cap rent growth</w:t>
      </w:r>
      <w:hyperlink r:id="rId32">
        <w:r>
          <w:rPr>
            <w:rStyle w:val="Hyperlink"/>
          </w:rPr>
          <w:t xml:space="preserve">[12]</w:t>
        </w:r>
      </w:hyperlink>
      <w:r>
        <w:t xml:space="preserve">;</w:t>
      </w:r>
      <w:r>
        <w:t xml:space="preserve"> </w:t>
      </w:r>
      <w:r>
        <w:t xml:space="preserve">condo associations may impose special assessments; single‑family homes</w:t>
      </w:r>
      <w:r>
        <w:t xml:space="preserve"> </w:t>
      </w:r>
      <w:r>
        <w:t xml:space="preserve">have higher exposure to vacancy risk.</w:t>
      </w:r>
    </w:p>
    <w:bookmarkEnd w:id="38"/>
    <w:bookmarkStart w:id="39" w:name="strategy-2-valueadd-renovation"/>
    <w:p>
      <w:pPr>
        <w:pStyle w:val="Heading2"/>
      </w:pPr>
      <w:r>
        <w:t xml:space="preserve">Strategy 2 – Value‑Add / Renovation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Purchase underperforming properties (single‑family or</w:t>
      </w:r>
      <w:r>
        <w:t xml:space="preserve"> </w:t>
      </w:r>
      <w:r>
        <w:t xml:space="preserve">small multi‑family) at a discount, invest in renovations to modernise</w:t>
      </w:r>
      <w:r>
        <w:t xml:space="preserve"> </w:t>
      </w:r>
      <w:r>
        <w:t xml:space="preserve">units and raise rents to current market levels.</w:t>
      </w:r>
    </w:p>
    <w:p>
      <w:pPr>
        <w:pStyle w:val="BodyText"/>
      </w:pPr>
      <w:r>
        <w:rPr>
          <w:b/>
          <w:bCs/>
        </w:rPr>
        <w:t xml:space="preserve">Ideal property characteristics:</w:t>
      </w:r>
      <w:r>
        <w:t xml:space="preserve"> </w:t>
      </w:r>
      <w:r>
        <w:t xml:space="preserve">Pre‑1980 single‑family homes,</w:t>
      </w:r>
      <w:r>
        <w:t xml:space="preserve"> </w:t>
      </w:r>
      <w:r>
        <w:t xml:space="preserve">duplexes or triplexes with outdated kitchens, bathrooms and building</w:t>
      </w:r>
      <w:r>
        <w:t xml:space="preserve"> </w:t>
      </w:r>
      <w:r>
        <w:t xml:space="preserve">systems; 1,500–2,500 sq ft; located near downtown Marlborough or</w:t>
      </w:r>
      <w:r>
        <w:t xml:space="preserve"> </w:t>
      </w:r>
      <w:r>
        <w:t xml:space="preserve">emerging corridors; potential to add bedrooms or finish basements.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20 % down payment plus a renovation budget of</w:t>
      </w:r>
      <w:r>
        <w:t xml:space="preserve"> </w:t>
      </w:r>
      <w:r>
        <w:t xml:space="preserve">\$50–150 k depending on scope (fixtures, HVAC, roof, kitchens). Total</w:t>
      </w:r>
      <w:r>
        <w:t xml:space="preserve"> </w:t>
      </w:r>
      <w:r>
        <w:t xml:space="preserve">equity investment \$150–250 k.</w:t>
      </w:r>
    </w:p>
    <w:p>
      <w:pPr>
        <w:pStyle w:val="BodyText"/>
      </w:pPr>
      <w:r>
        <w:rPr>
          <w:b/>
          <w:bCs/>
        </w:rPr>
        <w:t xml:space="preserve">Target entry cap rate:</w:t>
      </w:r>
      <w:r>
        <w:t xml:space="preserve"> </w:t>
      </w:r>
      <w:r>
        <w:rPr>
          <w:b/>
          <w:bCs/>
        </w:rPr>
        <w:t xml:space="preserve">4.5–5.5 %</w:t>
      </w:r>
      <w:r>
        <w:t xml:space="preserve">, reflecting below‑market rents</w:t>
      </w:r>
      <w:r>
        <w:t xml:space="preserve"> </w:t>
      </w:r>
      <w:r>
        <w:t xml:space="preserve">and discounted purchase price.</w:t>
      </w:r>
    </w:p>
    <w:p>
      <w:pPr>
        <w:pStyle w:val="BodyText"/>
      </w:pPr>
      <w:r>
        <w:rPr>
          <w:b/>
          <w:bCs/>
        </w:rPr>
        <w:t xml:space="preserve">Target stabilised cap rate:</w:t>
      </w:r>
      <w:r>
        <w:t xml:space="preserve"> </w:t>
      </w:r>
      <w:r>
        <w:rPr>
          <w:b/>
          <w:bCs/>
        </w:rPr>
        <w:t xml:space="preserve">6–7 %</w:t>
      </w:r>
      <w:r>
        <w:t xml:space="preserve"> </w:t>
      </w:r>
      <w:r>
        <w:t xml:space="preserve">after renovations push rents</w:t>
      </w:r>
      <w:r>
        <w:t xml:space="preserve"> </w:t>
      </w:r>
      <w:r>
        <w:t xml:space="preserve">toward moderate to aggressive assumptions (e.g., increasing a</w:t>
      </w:r>
      <w:r>
        <w:t xml:space="preserve"> </w:t>
      </w:r>
      <w:r>
        <w:t xml:space="preserve">2‑bed unit from \$2.0 k to \$2.8 k or a 3‑bed house from \$2.9 k to</w:t>
      </w:r>
      <w:r>
        <w:t xml:space="preserve"> </w:t>
      </w:r>
      <w:r>
        <w:t xml:space="preserve">\$4.0 k). This range aligns with Boston’s Class B/C cap rates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and national data for suburban</w:t>
      </w:r>
      <w:r>
        <w:t xml:space="preserve"> </w:t>
      </w:r>
      <w:r>
        <w:t xml:space="preserve">multi‑family properties</w:t>
      </w:r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cash flow vs appreciation:</w:t>
      </w:r>
      <w:r>
        <w:t xml:space="preserve"> </w:t>
      </w:r>
      <w:r>
        <w:t xml:space="preserve">Emphasises cash‑flow growth</w:t>
      </w:r>
      <w:r>
        <w:t xml:space="preserve"> </w:t>
      </w:r>
      <w:r>
        <w:t xml:space="preserve">after renovation; value‑add projects create “forced appreciation” by</w:t>
      </w:r>
      <w:r>
        <w:t xml:space="preserve"> </w:t>
      </w:r>
      <w:r>
        <w:t xml:space="preserve">raising net income and thereby property value. Appreciation also</w:t>
      </w:r>
      <w:r>
        <w:t xml:space="preserve"> </w:t>
      </w:r>
      <w:r>
        <w:t xml:space="preserve">benefits from Marlborough’s limited housing supply and strong job</w:t>
      </w:r>
      <w:r>
        <w:t xml:space="preserve"> </w:t>
      </w:r>
      <w:r>
        <w:t xml:space="preserve">growth.</w:t>
      </w:r>
    </w:p>
    <w:p>
      <w:pPr>
        <w:pStyle w:val="BodyText"/>
      </w:pPr>
      <w:r>
        <w:rPr>
          <w:b/>
          <w:bCs/>
        </w:rPr>
        <w:t xml:space="preserve">Regulatory and execution risks:</w:t>
      </w:r>
      <w:r>
        <w:t xml:space="preserve"> </w:t>
      </w:r>
      <w:r>
        <w:t xml:space="preserve">Construction cost overruns,</w:t>
      </w:r>
      <w:r>
        <w:t xml:space="preserve"> </w:t>
      </w:r>
      <w:r>
        <w:t xml:space="preserve">permitting delays and supply‑chain issues can erode returns. Zoning</w:t>
      </w:r>
      <w:r>
        <w:t xml:space="preserve"> </w:t>
      </w:r>
      <w:r>
        <w:t xml:space="preserve">rules require minimum lot size and floor area for conversions</w:t>
      </w:r>
      <w:hyperlink r:id="rId27">
        <w:r>
          <w:rPr>
            <w:rStyle w:val="Hyperlink"/>
          </w:rPr>
          <w:t xml:space="preserve">[7]</w:t>
        </w:r>
      </w:hyperlink>
      <w:r>
        <w:t xml:space="preserve">;</w:t>
      </w:r>
      <w:r>
        <w:t xml:space="preserve"> </w:t>
      </w:r>
      <w:r>
        <w:t xml:space="preserve">compliance with building codes is critical. Future rent‑control or</w:t>
      </w:r>
      <w:r>
        <w:t xml:space="preserve"> </w:t>
      </w:r>
      <w:r>
        <w:t xml:space="preserve">tenant protections could limit rent increases once renovated. Demand</w:t>
      </w:r>
      <w:r>
        <w:t xml:space="preserve"> </w:t>
      </w:r>
      <w:r>
        <w:t xml:space="preserve">shifts could leave higher‑rent units vacant if economic conditions</w:t>
      </w:r>
      <w:r>
        <w:t xml:space="preserve"> </w:t>
      </w:r>
      <w:r>
        <w:t xml:space="preserve">soften.</w:t>
      </w:r>
    </w:p>
    <w:bookmarkEnd w:id="39"/>
    <w:bookmarkStart w:id="40" w:name="strategy-3-small-multifamily-income"/>
    <w:p>
      <w:pPr>
        <w:pStyle w:val="Heading2"/>
      </w:pPr>
      <w:r>
        <w:t xml:space="preserve">Strategy 3 – Small Multi‑Family Income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Acquire and operate 2–10 unit residential buildings</w:t>
      </w:r>
      <w:r>
        <w:t xml:space="preserve"> </w:t>
      </w:r>
      <w:r>
        <w:t xml:space="preserve">focusing on steady cash flow and diversification across tenants.</w:t>
      </w:r>
    </w:p>
    <w:p>
      <w:pPr>
        <w:pStyle w:val="BodyText"/>
      </w:pPr>
      <w:r>
        <w:rPr>
          <w:b/>
          <w:bCs/>
        </w:rPr>
        <w:t xml:space="preserve">Ideal property characteristics:</w:t>
      </w:r>
      <w:r>
        <w:t xml:space="preserve"> </w:t>
      </w:r>
      <w:r>
        <w:t xml:space="preserve">Wood‑frame triplexes, quadplexes or</w:t>
      </w:r>
      <w:r>
        <w:t xml:space="preserve"> </w:t>
      </w:r>
      <w:r>
        <w:t xml:space="preserve">small apartment buildings built before 1980; each unit with 2–3</w:t>
      </w:r>
      <w:r>
        <w:t xml:space="preserve"> </w:t>
      </w:r>
      <w:r>
        <w:t xml:space="preserve">bedrooms and separate utilities; located near Route 20, the</w:t>
      </w:r>
      <w:r>
        <w:t xml:space="preserve"> </w:t>
      </w:r>
      <w:r>
        <w:t xml:space="preserve">Assabet River Rail Trail or downtown; price \$650 k–\$900 k for 2–4</w:t>
      </w:r>
      <w:r>
        <w:t xml:space="preserve"> </w:t>
      </w:r>
      <w:r>
        <w:t xml:space="preserve">units or \$1–2 M for 5–10 units.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25–30 % down payment; reserves for repairs,</w:t>
      </w:r>
      <w:r>
        <w:t xml:space="preserve"> </w:t>
      </w:r>
      <w:r>
        <w:t xml:space="preserve">tenant turnover and capital improvements; possible commercial loan with</w:t>
      </w:r>
      <w:r>
        <w:t xml:space="preserve"> </w:t>
      </w:r>
      <w:r>
        <w:t xml:space="preserve">slightly higher interest rate. Equity investment \$200–500 k</w:t>
      </w:r>
      <w:r>
        <w:t xml:space="preserve"> </w:t>
      </w:r>
      <w:r>
        <w:t xml:space="preserve">depending on size.</w:t>
      </w:r>
    </w:p>
    <w:p>
      <w:pPr>
        <w:pStyle w:val="BodyText"/>
      </w:pPr>
      <w:r>
        <w:rPr>
          <w:b/>
          <w:bCs/>
        </w:rPr>
        <w:t xml:space="preserve">Target entry cap rate:</w:t>
      </w:r>
      <w:r>
        <w:t xml:space="preserve"> </w:t>
      </w:r>
      <w:r>
        <w:rPr>
          <w:b/>
          <w:bCs/>
        </w:rPr>
        <w:t xml:space="preserve">5.5–6.5 %</w:t>
      </w:r>
      <w:r>
        <w:t xml:space="preserve"> </w:t>
      </w:r>
      <w:r>
        <w:t xml:space="preserve">for smaller buildings and</w:t>
      </w:r>
      <w:r>
        <w:t xml:space="preserve"> </w:t>
      </w:r>
      <w:r>
        <w:rPr>
          <w:b/>
          <w:bCs/>
        </w:rPr>
        <w:t xml:space="preserve">6–7 %</w:t>
      </w:r>
      <w:r>
        <w:t xml:space="preserve"> </w:t>
      </w:r>
      <w:r>
        <w:t xml:space="preserve">for 5–10 unit properties, reflecting moderate rents and</w:t>
      </w:r>
      <w:r>
        <w:t xml:space="preserve"> </w:t>
      </w:r>
      <w:r>
        <w:t xml:space="preserve">economies of scale.</w:t>
      </w:r>
    </w:p>
    <w:p>
      <w:pPr>
        <w:pStyle w:val="BodyText"/>
      </w:pPr>
      <w:r>
        <w:rPr>
          <w:b/>
          <w:bCs/>
        </w:rPr>
        <w:t xml:space="preserve">Target stabilised cap rate:</w:t>
      </w:r>
      <w:r>
        <w:t xml:space="preserve"> </w:t>
      </w:r>
      <w:r>
        <w:rPr>
          <w:b/>
          <w:bCs/>
        </w:rPr>
        <w:t xml:space="preserve">6.5–7.5 %</w:t>
      </w:r>
      <w:r>
        <w:t xml:space="preserve"> </w:t>
      </w:r>
      <w:r>
        <w:t xml:space="preserve">after modest upgrades and</w:t>
      </w:r>
      <w:r>
        <w:t xml:space="preserve"> </w:t>
      </w:r>
      <w:r>
        <w:t xml:space="preserve">rent increases; repositioning units to modern finishes can push</w:t>
      </w:r>
      <w:r>
        <w:t xml:space="preserve"> </w:t>
      </w:r>
      <w:r>
        <w:t xml:space="preserve">returns toward the upper end of national Class B/C ranges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Expected cash flow vs appreciation:</w:t>
      </w:r>
      <w:r>
        <w:t xml:space="preserve"> </w:t>
      </w:r>
      <w:r>
        <w:t xml:space="preserve">Predominantly cash flow, with</w:t>
      </w:r>
      <w:r>
        <w:t xml:space="preserve"> </w:t>
      </w:r>
      <w:r>
        <w:t xml:space="preserve">moderate appreciation as demand for rental units remains strong.</w:t>
      </w:r>
      <w:r>
        <w:t xml:space="preserve"> </w:t>
      </w:r>
      <w:r>
        <w:t xml:space="preserve">Multiple units dilute vacancy risk and create predictable income.</w:t>
      </w:r>
    </w:p>
    <w:p>
      <w:pPr>
        <w:pStyle w:val="BodyText"/>
      </w:pPr>
      <w:r>
        <w:rPr>
          <w:b/>
          <w:bCs/>
        </w:rPr>
        <w:t xml:space="preserve">Regulatory and execution risks:</w:t>
      </w:r>
      <w:r>
        <w:t xml:space="preserve"> </w:t>
      </w:r>
      <w:r>
        <w:t xml:space="preserve">Landlords must adhere to strict</w:t>
      </w:r>
      <w:r>
        <w:t xml:space="preserve"> </w:t>
      </w:r>
      <w:r>
        <w:t xml:space="preserve">deposit and eviction rules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;</w:t>
      </w:r>
      <w:r>
        <w:t xml:space="preserve"> </w:t>
      </w:r>
      <w:r>
        <w:t xml:space="preserve">the 2026 rent‑control initiative could cap annual increases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. Competition with new professionally</w:t>
      </w:r>
      <w:r>
        <w:t xml:space="preserve"> </w:t>
      </w:r>
      <w:r>
        <w:t xml:space="preserve">managed apartment complexes may require continuous upgrades.</w:t>
      </w:r>
    </w:p>
    <w:bookmarkEnd w:id="40"/>
    <w:bookmarkStart w:id="41" w:name="strategy-4-development-or-redevelopment"/>
    <w:p>
      <w:pPr>
        <w:pStyle w:val="Heading2"/>
      </w:pPr>
      <w:r>
        <w:t xml:space="preserve">Strategy 4 – Development or Redevelopment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Acquire underutilised sites or obsolete buildings and</w:t>
      </w:r>
      <w:r>
        <w:t xml:space="preserve"> </w:t>
      </w:r>
      <w:r>
        <w:t xml:space="preserve">construct new multi‑family or mixed‑use projects, leveraging tax</w:t>
      </w:r>
      <w:r>
        <w:t xml:space="preserve"> </w:t>
      </w:r>
      <w:r>
        <w:t xml:space="preserve">incentives and strong demand from life‑science workers.</w:t>
      </w:r>
    </w:p>
    <w:p>
      <w:pPr>
        <w:pStyle w:val="BodyText"/>
      </w:pPr>
      <w:r>
        <w:rPr>
          <w:b/>
          <w:bCs/>
        </w:rPr>
        <w:t xml:space="preserve">Ideal property characteristics:</w:t>
      </w:r>
      <w:r>
        <w:t xml:space="preserve"> </w:t>
      </w:r>
      <w:r>
        <w:t xml:space="preserve">Vacant parcels or ageing commercial</w:t>
      </w:r>
      <w:r>
        <w:t xml:space="preserve"> </w:t>
      </w:r>
      <w:r>
        <w:t xml:space="preserve">buildings (&gt;20 k sq ft) in downtown Marlborough or along major</w:t>
      </w:r>
      <w:r>
        <w:t xml:space="preserve"> </w:t>
      </w:r>
      <w:r>
        <w:t xml:space="preserve">corridors; zoning that allows multi‑family or mixed use with adequate</w:t>
      </w:r>
      <w:r>
        <w:t xml:space="preserve"> </w:t>
      </w:r>
      <w:r>
        <w:t xml:space="preserve">lot area and landscaped buffer</w:t>
      </w:r>
      <w:hyperlink r:id="rId27">
        <w:r>
          <w:rPr>
            <w:rStyle w:val="Hyperlink"/>
          </w:rPr>
          <w:t xml:space="preserve">[7]</w:t>
        </w:r>
      </w:hyperlink>
      <w:hyperlink r:id="rId28">
        <w:r>
          <w:rPr>
            <w:rStyle w:val="Hyperlink"/>
          </w:rPr>
          <w:t xml:space="preserve">[8]</w:t>
        </w:r>
      </w:hyperlink>
      <w:r>
        <w:t xml:space="preserve">;</w:t>
      </w:r>
      <w:r>
        <w:t xml:space="preserve"> </w:t>
      </w:r>
      <w:r>
        <w:t xml:space="preserve">proximity to employers and transit; potential eligibility for Tax</w:t>
      </w:r>
      <w:r>
        <w:t xml:space="preserve"> </w:t>
      </w:r>
      <w:r>
        <w:t xml:space="preserve">Increment Financing (TIF) incentives</w:t>
      </w:r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Very high – land acquisition (\$1–3 M);</w:t>
      </w:r>
      <w:r>
        <w:t xml:space="preserve"> </w:t>
      </w:r>
      <w:r>
        <w:t xml:space="preserve">pre‑development costs (architectural, engineering, legal and</w:t>
      </w:r>
      <w:r>
        <w:t xml:space="preserve"> </w:t>
      </w:r>
      <w:r>
        <w:t xml:space="preserve">entitlements); construction costs of \$200–300 per sq ft. Total</w:t>
      </w:r>
      <w:r>
        <w:t xml:space="preserve"> </w:t>
      </w:r>
      <w:r>
        <w:t xml:space="preserve">project cost \$10–30 M for a 20–50 unit building. Developers may</w:t>
      </w:r>
      <w:r>
        <w:t xml:space="preserve"> </w:t>
      </w:r>
      <w:r>
        <w:t xml:space="preserve">partner with institutional investors or pursue TIF abatements</w:t>
      </w:r>
      <w:hyperlink r:id="rId35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Target entry cap rate / return:</w:t>
      </w:r>
      <w:r>
        <w:t xml:space="preserve"> </w:t>
      </w:r>
      <w:r>
        <w:t xml:space="preserve">Pre‑stabilisation there is no cap</w:t>
      </w:r>
      <w:r>
        <w:t xml:space="preserve"> </w:t>
      </w:r>
      <w:r>
        <w:t xml:space="preserve">rate; investors target</w:t>
      </w:r>
      <w:r>
        <w:t xml:space="preserve"> </w:t>
      </w:r>
      <w:r>
        <w:rPr>
          <w:b/>
          <w:bCs/>
        </w:rPr>
        <w:t xml:space="preserve">internal rates of return (IRRs) of 12–15 %</w:t>
      </w:r>
      <w:r>
        <w:t xml:space="preserve"> </w:t>
      </w:r>
      <w:r>
        <w:t xml:space="preserve">to compensate for permitting and construction risk. Once the project</w:t>
      </w:r>
      <w:r>
        <w:t xml:space="preserve"> </w:t>
      </w:r>
      <w:r>
        <w:t xml:space="preserve">is leased up, the</w:t>
      </w:r>
      <w:r>
        <w:t xml:space="preserve"> </w:t>
      </w:r>
      <w:r>
        <w:rPr>
          <w:b/>
          <w:bCs/>
        </w:rPr>
        <w:t xml:space="preserve">stabilised cap rate typically falls in the</w:t>
      </w:r>
      <w:r>
        <w:rPr>
          <w:b/>
          <w:bCs/>
        </w:rPr>
        <w:t xml:space="preserve"> </w:t>
      </w:r>
      <w:r>
        <w:rPr>
          <w:b/>
          <w:bCs/>
        </w:rPr>
        <w:t xml:space="preserve">7–8 %</w:t>
      </w:r>
      <w:r>
        <w:t xml:space="preserve"> </w:t>
      </w:r>
      <w:r>
        <w:t xml:space="preserve">range.</w:t>
      </w:r>
    </w:p>
    <w:p>
      <w:pPr>
        <w:pStyle w:val="BodyText"/>
      </w:pPr>
      <w:r>
        <w:rPr>
          <w:b/>
          <w:bCs/>
        </w:rPr>
        <w:t xml:space="preserve">Expected cash flow vs appreciation:</w:t>
      </w:r>
      <w:r>
        <w:t xml:space="preserve"> </w:t>
      </w:r>
      <w:r>
        <w:t xml:space="preserve">Little or no cash flow until</w:t>
      </w:r>
      <w:r>
        <w:t xml:space="preserve"> </w:t>
      </w:r>
      <w:r>
        <w:t xml:space="preserve">construction is completed and units are leased. After lease‑up the</w:t>
      </w:r>
      <w:r>
        <w:t xml:space="preserve"> </w:t>
      </w:r>
      <w:r>
        <w:t xml:space="preserve">project generates strong cash flow from high rents (\$3–5 k per unit)</w:t>
      </w:r>
      <w:r>
        <w:t xml:space="preserve"> </w:t>
      </w:r>
      <w:r>
        <w:t xml:space="preserve">and can be sold or refinanced for substantial appreciation. Marlborough’s</w:t>
      </w:r>
      <w:r>
        <w:t xml:space="preserve"> </w:t>
      </w:r>
      <w:r>
        <w:t xml:space="preserve">growing population and employer base support absorption of new units.</w:t>
      </w:r>
    </w:p>
    <w:p>
      <w:pPr>
        <w:pStyle w:val="BodyText"/>
      </w:pPr>
      <w:r>
        <w:rPr>
          <w:b/>
          <w:bCs/>
        </w:rPr>
        <w:t xml:space="preserve">Regulatory and execution risks:</w:t>
      </w:r>
      <w:r>
        <w:t xml:space="preserve"> </w:t>
      </w:r>
      <w:r>
        <w:t xml:space="preserve">Highest among all strategies.</w:t>
      </w:r>
      <w:r>
        <w:t xml:space="preserve"> </w:t>
      </w:r>
      <w:r>
        <w:t xml:space="preserve">Developers must navigate zoning amendments, site plan review and</w:t>
      </w:r>
      <w:r>
        <w:t xml:space="preserve"> </w:t>
      </w:r>
      <w:r>
        <w:t xml:space="preserve">environmental regulations; large capital requirements increase</w:t>
      </w:r>
      <w:r>
        <w:t xml:space="preserve"> </w:t>
      </w:r>
      <w:r>
        <w:t xml:space="preserve">financing risk; cost overruns and delays can erode returns. Future</w:t>
      </w:r>
      <w:r>
        <w:t xml:space="preserve"> </w:t>
      </w:r>
      <w:r>
        <w:t xml:space="preserve">rent‑control measures could constrain rents on newly built units, and</w:t>
      </w:r>
      <w:r>
        <w:t xml:space="preserve"> </w:t>
      </w:r>
      <w:r>
        <w:t xml:space="preserve">economic downturns could slow lease‑up.</w:t>
      </w:r>
    </w:p>
    <w:bookmarkEnd w:id="41"/>
    <w:bookmarkStart w:id="42" w:name="Xa37a8ba00d64dbbaf8425cf4acba7e50f402892"/>
    <w:p>
      <w:pPr>
        <w:pStyle w:val="Heading2"/>
      </w:pPr>
      <w:r>
        <w:t xml:space="preserve">Strategy 5 – Creative / Unconventional – ADU &amp; House‑Hacking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Capitalise on the new ADU law by building an accessory</w:t>
      </w:r>
      <w:r>
        <w:t xml:space="preserve"> </w:t>
      </w:r>
      <w:r>
        <w:t xml:space="preserve">dwelling unit on an owner‑occupied lot or converting existing space into</w:t>
      </w:r>
      <w:r>
        <w:t xml:space="preserve"> </w:t>
      </w:r>
      <w:r>
        <w:t xml:space="preserve">a second unit. This “house‑hacking” approach allows investors to live</w:t>
      </w:r>
      <w:r>
        <w:t xml:space="preserve"> </w:t>
      </w:r>
      <w:r>
        <w:t xml:space="preserve">in one unit while renting the other, or to rent both units for a</w:t>
      </w:r>
      <w:r>
        <w:t xml:space="preserve"> </w:t>
      </w:r>
      <w:r>
        <w:t xml:space="preserve">combined income stream.</w:t>
      </w:r>
    </w:p>
    <w:p>
      <w:pPr>
        <w:pStyle w:val="BodyText"/>
      </w:pPr>
      <w:r>
        <w:rPr>
          <w:b/>
          <w:bCs/>
        </w:rPr>
        <w:t xml:space="preserve">Ideal property characteristics:</w:t>
      </w:r>
      <w:r>
        <w:t xml:space="preserve"> </w:t>
      </w:r>
      <w:r>
        <w:t xml:space="preserve">Single‑family home on a large lot</w:t>
      </w:r>
      <w:r>
        <w:t xml:space="preserve"> </w:t>
      </w:r>
      <w:r>
        <w:t xml:space="preserve">(&gt;10 k sq ft) with space to build a detached or attached ADU up to</w:t>
      </w:r>
      <w:r>
        <w:t xml:space="preserve"> </w:t>
      </w:r>
      <w:r>
        <w:t xml:space="preserve">900 sq ft; properties located in Rural Residence or Residence A</w:t>
      </w:r>
      <w:r>
        <w:t xml:space="preserve"> </w:t>
      </w:r>
      <w:r>
        <w:t xml:space="preserve">districts meet minimum floor‑area and lot‑size requirements for</w:t>
      </w:r>
      <w:r>
        <w:t xml:space="preserve"> </w:t>
      </w:r>
      <w:r>
        <w:t xml:space="preserve">conversions</w:t>
      </w:r>
      <w:hyperlink r:id="rId27">
        <w:r>
          <w:rPr>
            <w:rStyle w:val="Hyperlink"/>
          </w:rPr>
          <w:t xml:space="preserve">[7]</w:t>
        </w:r>
      </w:hyperlink>
      <w:r>
        <w:t xml:space="preserve">. Homes near transit or</w:t>
      </w:r>
      <w:r>
        <w:t xml:space="preserve"> </w:t>
      </w:r>
      <w:r>
        <w:t xml:space="preserve">employers are particularly attractive to tenants.</w:t>
      </w:r>
    </w:p>
    <w:p>
      <w:pPr>
        <w:pStyle w:val="BodyText"/>
      </w:pPr>
      <w:r>
        <w:rPr>
          <w:b/>
          <w:bCs/>
        </w:rPr>
        <w:t xml:space="preserve">Capital requirements:</w:t>
      </w:r>
      <w:r>
        <w:t xml:space="preserve"> </w:t>
      </w:r>
      <w:r>
        <w:t xml:space="preserve">Down payment on the primary residence (20 %) plus</w:t>
      </w:r>
      <w:r>
        <w:t xml:space="preserve"> </w:t>
      </w:r>
      <w:r>
        <w:t xml:space="preserve">construction cost for the ADU (\$150–250 k); design and permitting</w:t>
      </w:r>
      <w:r>
        <w:t xml:space="preserve"> </w:t>
      </w:r>
      <w:r>
        <w:t xml:space="preserve">fees; financing may come from home‑equity loans or renovation loans.</w:t>
      </w:r>
      <w:r>
        <w:t xml:space="preserve"> </w:t>
      </w:r>
      <w:r>
        <w:t xml:space="preserve">Total investment \$250–350 k.</w:t>
      </w:r>
    </w:p>
    <w:p>
      <w:pPr>
        <w:pStyle w:val="BodyText"/>
      </w:pPr>
      <w:r>
        <w:rPr>
          <w:b/>
          <w:bCs/>
        </w:rPr>
        <w:t xml:space="preserve">Target entry cap rate:</w:t>
      </w:r>
      <w:r>
        <w:t xml:space="preserve"> </w:t>
      </w:r>
      <w:r>
        <w:rPr>
          <w:b/>
          <w:bCs/>
        </w:rPr>
        <w:t xml:space="preserve">4–5 %</w:t>
      </w:r>
      <w:r>
        <w:t xml:space="preserve"> </w:t>
      </w:r>
      <w:r>
        <w:t xml:space="preserve">before constructing the ADU, similar</w:t>
      </w:r>
      <w:r>
        <w:t xml:space="preserve"> </w:t>
      </w:r>
      <w:r>
        <w:t xml:space="preserve">to core buy‑and‑hold.</w:t>
      </w:r>
    </w:p>
    <w:p>
      <w:pPr>
        <w:pStyle w:val="BodyText"/>
      </w:pPr>
      <w:r>
        <w:rPr>
          <w:b/>
          <w:bCs/>
        </w:rPr>
        <w:t xml:space="preserve">Target stabilised cap rate:</w:t>
      </w:r>
      <w:r>
        <w:t xml:space="preserve"> </w:t>
      </w:r>
      <w:r>
        <w:rPr>
          <w:b/>
          <w:bCs/>
        </w:rPr>
        <w:t xml:space="preserve">6–8 %</w:t>
      </w:r>
      <w:r>
        <w:t xml:space="preserve"> </w:t>
      </w:r>
      <w:r>
        <w:t xml:space="preserve">after adding the ADU and</w:t>
      </w:r>
      <w:r>
        <w:t xml:space="preserve"> </w:t>
      </w:r>
      <w:r>
        <w:t xml:space="preserve">renting both units. A 1‑bed or 2‑bed ADU can generate \$1.2–2.3 k per</w:t>
      </w:r>
      <w:r>
        <w:t xml:space="preserve"> </w:t>
      </w:r>
      <w:r>
        <w:t xml:space="preserve">month (moderate to aggressive rent assumptions) without a</w:t>
      </w:r>
      <w:r>
        <w:t xml:space="preserve"> </w:t>
      </w:r>
      <w:r>
        <w:t xml:space="preserve">proportionate increase in purchase price.</w:t>
      </w:r>
    </w:p>
    <w:p>
      <w:pPr>
        <w:pStyle w:val="BodyText"/>
      </w:pPr>
      <w:r>
        <w:rPr>
          <w:b/>
          <w:bCs/>
        </w:rPr>
        <w:t xml:space="preserve">Expected cash flow vs appreciation:</w:t>
      </w:r>
      <w:r>
        <w:t xml:space="preserve"> </w:t>
      </w:r>
      <w:r>
        <w:t xml:space="preserve">Balanced. Cash flow improves</w:t>
      </w:r>
      <w:r>
        <w:t xml:space="preserve"> </w:t>
      </w:r>
      <w:r>
        <w:t xml:space="preserve">significantly after the ADU is leased, while the property’s value</w:t>
      </w:r>
      <w:r>
        <w:t xml:space="preserve"> </w:t>
      </w:r>
      <w:r>
        <w:t xml:space="preserve">increases due to the additional legal unit. Owner‑occupiers benefit</w:t>
      </w:r>
      <w:r>
        <w:t xml:space="preserve"> </w:t>
      </w:r>
      <w:r>
        <w:t xml:space="preserve">from reduced housing costs.</w:t>
      </w:r>
    </w:p>
    <w:p>
      <w:pPr>
        <w:pStyle w:val="BodyText"/>
      </w:pPr>
      <w:r>
        <w:rPr>
          <w:b/>
          <w:bCs/>
        </w:rPr>
        <w:t xml:space="preserve">Regulatory and execution risks:</w:t>
      </w:r>
      <w:r>
        <w:t xml:space="preserve"> </w:t>
      </w:r>
      <w:r>
        <w:t xml:space="preserve">ADUs must have separate entrances</w:t>
      </w:r>
      <w:r>
        <w:t xml:space="preserve"> </w:t>
      </w:r>
      <w:r>
        <w:t xml:space="preserve">and cannot exceed 900 sq ft or half the gross floor area of the main</w:t>
      </w:r>
      <w:r>
        <w:t xml:space="preserve"> </w:t>
      </w:r>
      <w:r>
        <w:t xml:space="preserve">house</w:t>
      </w:r>
      <w:hyperlink r:id="rId29">
        <w:r>
          <w:rPr>
            <w:rStyle w:val="Hyperlink"/>
          </w:rPr>
          <w:t xml:space="preserve">[9]</w:t>
        </w:r>
      </w:hyperlink>
      <w:r>
        <w:t xml:space="preserve">; local design rules may limit</w:t>
      </w:r>
      <w:r>
        <w:t xml:space="preserve"> </w:t>
      </w:r>
      <w:r>
        <w:t xml:space="preserve">architectural options. Financing for ADU construction can be costly.</w:t>
      </w:r>
      <w:r>
        <w:t xml:space="preserve"> </w:t>
      </w:r>
      <w:r>
        <w:t xml:space="preserve">Future rent‑control proposals could limit income growth. House‑hacking</w:t>
      </w:r>
      <w:r>
        <w:t xml:space="preserve"> </w:t>
      </w:r>
      <w:r>
        <w:t xml:space="preserve">requires being a live‑in landlord and balancing privacy with tenant</w:t>
      </w:r>
      <w:r>
        <w:t xml:space="preserve"> </w:t>
      </w:r>
      <w:r>
        <w:t xml:space="preserve">relations.</w:t>
      </w:r>
    </w:p>
    <w:bookmarkEnd w:id="42"/>
    <w:bookmarkStart w:id="43" w:name="riskadjusted-return-ranking"/>
    <w:p>
      <w:pPr>
        <w:pStyle w:val="Heading2"/>
      </w:pPr>
      <w:r>
        <w:t xml:space="preserve">Risk‑adjusted return ranking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Return potential (approx. cap rate/IRR)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 (1 = highest risk‑adjusted return)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Value‑Add / Renovation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Entry: 4.5–5.5 %; Stabilised: 6–7 %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Balances manageable renovation risk with material upside; improvements force appreciation while rents rise toward market levels; older housing stock offers plentiful opportunities.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 Multi‑Family Income</w:t>
            </w:r>
          </w:p>
        </w:tc>
        <w:tc>
          <w:tcPr/>
          <w:p>
            <w:pPr>
              <w:pStyle w:val="Compact"/>
            </w:pPr>
            <w:r>
              <w:t xml:space="preserve">Moderate–High</w:t>
            </w:r>
          </w:p>
        </w:tc>
        <w:tc>
          <w:tcPr/>
          <w:p>
            <w:pPr>
              <w:pStyle w:val="Compact"/>
            </w:pPr>
            <w:r>
              <w:t xml:space="preserve">Entry: 5.5–7 %; Stabilised: 6.5–7.5 %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Yields stronger cash flow than single‑family holdings; diversification across units reduces vacancy risk; but larger capital requirements and tenant protections add complexity.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Buy‑and‑Hold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Entry: 3–5 %; Stabilised: 4–5.5 %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Simplest strategy with low execution risk; best for investors seeking stability and long‑term appreciation; cap rates remain low due to high purchase prices and strong demand.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ADU / House‑Hacking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Pre‑ADU: 4–5 %; Post‑ADU: 6–8 %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Creative method to boost returns and reduce personal housing costs; reliant on construction and regulatory compliance; appropriate for owner‑occupants.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/ Redevelopment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Pre‑stabilisation IRR: 12–15 %; Stabilised cap: 7–8 %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Offers highest potential returns but requires expertise, significant capital and tolerance for entitlement, construction and market risks; advisable only for experienced developers.</w:t>
            </w:r>
          </w:p>
        </w:tc>
      </w:tr>
    </w:tbl>
    <w:bookmarkEnd w:id="43"/>
    <w:bookmarkStart w:id="4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Marlborough housing market is shaped by strong job growth, declining</w:t>
      </w:r>
      <w:r>
        <w:t xml:space="preserve"> </w:t>
      </w:r>
      <w:r>
        <w:t xml:space="preserve">property taxes and limited supply, resulting in low entry cap rates but</w:t>
      </w:r>
      <w:r>
        <w:t xml:space="preserve"> </w:t>
      </w:r>
      <w:r>
        <w:t xml:space="preserve">significant opportunities for investors who can add value or unlock new</w:t>
      </w:r>
      <w:r>
        <w:t xml:space="preserve"> </w:t>
      </w:r>
      <w:r>
        <w:t xml:space="preserve">units. Core buy‑and‑hold strategies provide stability, while</w:t>
      </w:r>
      <w:r>
        <w:t xml:space="preserve"> </w:t>
      </w:r>
      <w:r>
        <w:t xml:space="preserve">value‑add renovations and small multi‑family acquisitions deliver</w:t>
      </w:r>
      <w:r>
        <w:t xml:space="preserve"> </w:t>
      </w:r>
      <w:r>
        <w:t xml:space="preserve">superior cash flows and returns. Building accessory dwelling units or</w:t>
      </w:r>
      <w:r>
        <w:t xml:space="preserve"> </w:t>
      </w:r>
      <w:r>
        <w:t xml:space="preserve">pursuing development projects can further amplify returns but carry</w:t>
      </w:r>
      <w:r>
        <w:t xml:space="preserve"> </w:t>
      </w:r>
      <w:r>
        <w:t xml:space="preserve">higher regulatory and execution risk. Investors should monitor</w:t>
      </w:r>
      <w:r>
        <w:t xml:space="preserve"> </w:t>
      </w:r>
      <w:r>
        <w:t xml:space="preserve">legislative changes—particularly the proposed rent‑control measure—and</w:t>
      </w:r>
      <w:r>
        <w:t xml:space="preserve"> </w:t>
      </w:r>
      <w:r>
        <w:t xml:space="preserve">carefully match their strategy to their risk tolerance, capital and</w:t>
      </w:r>
      <w:r>
        <w:t xml:space="preserve"> </w:t>
      </w:r>
      <w:r>
        <w:t xml:space="preserve">operational capacity.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Average Rental Price in Marlborough, MA | $2,400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https://www.zillow.com/rental-manager/market-trends/marlborough-ma/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Average Rent in Marlborough, MA: 2026 Rent Prices by Neighborhood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https://www.rentcafe.com/average-rent-market-trends/us/ma/marlborough/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Maximizing Your Return on Investment</w:t>
      </w:r>
    </w:p>
    <w:p>
      <w:pPr>
        <w:pStyle w:val="BodyText"/>
      </w:pPr>
      <w:hyperlink r:id="rId49">
        <w:r>
          <w:rPr>
            <w:rStyle w:val="Hyperlink"/>
          </w:rPr>
          <w:t xml:space="preserve">https://warrenre.com/blog/maximizing-your-return-on-investment-understanding-cap-rates-in-the-boston-real-estate-market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Cap Rates for Apartment/Multifamily Properties 2026</w:t>
      </w:r>
    </w:p>
    <w:p>
      <w:pPr>
        <w:pStyle w:val="BodyText"/>
      </w:pPr>
      <w:hyperlink r:id="rId50">
        <w:r>
          <w:rPr>
            <w:rStyle w:val="Hyperlink"/>
          </w:rPr>
          <w:t xml:space="preserve">https://apartmentloanstore.com/glossary/cap-rate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Boston Multi-Family Cap Rates 2025: Complete Investor Guide | Signal Real Estate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https://www.signalrealestate.com/blog/boston-multi-family-cap-rates-2025-complete-investor-guide/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City of Marlborough, MA Permitted Uses</w:t>
      </w:r>
    </w:p>
    <w:p>
      <w:pPr>
        <w:pStyle w:val="BodyText"/>
      </w:pPr>
      <w:hyperlink r:id="rId52">
        <w:r>
          <w:rPr>
            <w:rStyle w:val="Hyperlink"/>
          </w:rPr>
          <w:t xml:space="preserve">https://ecode360.com/9217014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Accessory Dwelling Units | Mass.gov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https://www.mass.gov/info-details/accessory-dwelling-units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Security deposits and last month's rent | Mass.gov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https://www.mass.gov/info-details/security-deposits-and-last-months-rent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Tenants' guide to eviction | Mass.gov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https://www.mass.gov/info-details/tenants-guide-to-eviction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download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https://www.mass.gov/doc/final-summary-for-25-21-an-initiative-petition-to-protect-tenants-by-limiting-rent-increases/download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Present &amp; Past Tax Rates | Marlborough, MA</w:t>
      </w:r>
      <w:r>
        <w:t xml:space="preserve"> 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https://www.marlborough-ma.gov/369/Present-Past-Tax-Rates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Fast Facts &amp; Data - Marlborough Economic Development Corporation</w:t>
      </w:r>
    </w:p>
    <w:p>
      <w:pPr>
        <w:pStyle w:val="BodyText"/>
      </w:pPr>
      <w:hyperlink r:id="rId58">
        <w:r>
          <w:rPr>
            <w:rStyle w:val="Hyperlink"/>
          </w:rPr>
          <w:t xml:space="preserve">https://marlboroughedc.com/fast-facts-data/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Life Sciences Hub - Marlborough Economic Development Corporation</w:t>
      </w:r>
    </w:p>
    <w:p>
      <w:pPr>
        <w:pStyle w:val="BodyText"/>
      </w:pPr>
      <w:hyperlink r:id="rId59">
        <w:r>
          <w:rPr>
            <w:rStyle w:val="Hyperlink"/>
          </w:rPr>
          <w:t xml:space="preserve">https://marlboroughedc.com/life-sciences-hub/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apartmentloanstore.com/glossary/cap-rate" TargetMode="External" /><Relationship Type="http://schemas.openxmlformats.org/officeDocument/2006/relationships/hyperlink" Id="rId25" Target="https://apartmentloanstore.com/glossary/cap-rate#:~:text=Multifamily%20Metro%20Mid%20%26%20High,74" TargetMode="External" /><Relationship Type="http://schemas.openxmlformats.org/officeDocument/2006/relationships/hyperlink" Id="rId52" Target="https://ecode360.com/9217014" TargetMode="External" /><Relationship Type="http://schemas.openxmlformats.org/officeDocument/2006/relationships/hyperlink" Id="rId27" Target="https://ecode360.com/9217014#:~:text=Conversion%20of%20a%20single,accommodate%20two%20families%2C%20provided%20that" TargetMode="External" /><Relationship Type="http://schemas.openxmlformats.org/officeDocument/2006/relationships/hyperlink" Id="rId28" Target="https://ecode360.com/9217014#:~:text=Two%20residential%20structures%20on%20a,subject%20to%20the%20following%20conditions" TargetMode="External" /><Relationship Type="http://schemas.openxmlformats.org/officeDocument/2006/relationships/hyperlink" Id="rId58" Target="https://marlboroughedc.com/fast-facts-data/" TargetMode="External" /><Relationship Type="http://schemas.openxmlformats.org/officeDocument/2006/relationships/hyperlink" Id="rId34" Target="https://marlboroughedc.com/fast-facts-data/#:~:text=Premier%20Companies%3A%20Cytiva%2C%20Boston%20Scientific%2C,DuPont%2C%20Ken%E2%80%99s%20Foods%2C%20Lifeward%2C%20Sartorius" TargetMode="External" /><Relationship Type="http://schemas.openxmlformats.org/officeDocument/2006/relationships/hyperlink" Id="rId59" Target="https://marlboroughedc.com/life-sciences-hub/" TargetMode="External" /><Relationship Type="http://schemas.openxmlformats.org/officeDocument/2006/relationships/hyperlink" Id="rId35" Target="https://marlboroughedc.com/life-sciences-hub/#:~:text=Tax%20Increment%20Financing%20,Growth%20in%20Marlborough" TargetMode="External" /><Relationship Type="http://schemas.openxmlformats.org/officeDocument/2006/relationships/hyperlink" Id="rId49" Target="https://warrenre.com/blog/maximizing-your-return-on-investment-understanding-cap-rates-in-the-boston-real-estate-market" TargetMode="External" /><Relationship Type="http://schemas.openxmlformats.org/officeDocument/2006/relationships/hyperlink" Id="rId24" Target="https://warrenre.com/blog/maximizing-your-return-on-investment-understanding-cap-rates-in-the-boston-real-estate-market#:~:text=In%20the%20Boston%2C%20MA%20real,location%2C%20condition%2C%20and%20other%20factors" TargetMode="External" /><Relationship Type="http://schemas.openxmlformats.org/officeDocument/2006/relationships/hyperlink" Id="rId57" Target="https://www.marlborough-ma.gov/369/Present-Past-Tax-Rates" TargetMode="External" /><Relationship Type="http://schemas.openxmlformats.org/officeDocument/2006/relationships/hyperlink" Id="rId33" Target="https://www.marlborough-ma.gov/369/Present-Past-Tax-Rates#:~:text=2026%2010,66%20N%2FA%20N%2FA" TargetMode="External" /><Relationship Type="http://schemas.openxmlformats.org/officeDocument/2006/relationships/hyperlink" Id="rId56" Target="https://www.mass.gov/doc/final-summary-for-25-21-an-initiative-petition-to-protect-tenants-by-limiting-rent-increases/download" TargetMode="External" /><Relationship Type="http://schemas.openxmlformats.org/officeDocument/2006/relationships/hyperlink" Id="rId32" Target="https://www.mass.gov/doc/final-summary-for-25-21-an-initiative-petition-to-protect-tenants-by-limiting-rent-increases/download#:~:text=This%20proposed%20law%20would%20limit,a%20violation%20of%20the%20state" TargetMode="External" /><Relationship Type="http://schemas.openxmlformats.org/officeDocument/2006/relationships/hyperlink" Id="rId53" Target="https://www.mass.gov/info-details/accessory-dwelling-units" TargetMode="External" /><Relationship Type="http://schemas.openxmlformats.org/officeDocument/2006/relationships/hyperlink" Id="rId29" Target="https://www.mass.gov/info-details/accessory-dwelling-units#:~:text=On%20Aug,will%20make%20a%20big%20difference" TargetMode="External" /><Relationship Type="http://schemas.openxmlformats.org/officeDocument/2006/relationships/hyperlink" Id="rId54" Target="https://www.mass.gov/info-details/security-deposits-and-last-months-rent" TargetMode="External" /><Relationship Type="http://schemas.openxmlformats.org/officeDocument/2006/relationships/hyperlink" Id="rId30" Target="https://www.mass.gov/info-details/security-deposits-and-last-months-rent#:~:text=Landlords%20are%C2%A0allowed%20to%20collect%20the,for%20a%20lock%20and%20key" TargetMode="External" /><Relationship Type="http://schemas.openxmlformats.org/officeDocument/2006/relationships/hyperlink" Id="rId55" Target="https://www.mass.gov/info-details/tenants-guide-to-eviction" TargetMode="External" /><Relationship Type="http://schemas.openxmlformats.org/officeDocument/2006/relationships/hyperlink" Id="rId31" Target="https://www.mass.gov/info-details/tenants-guide-to-eviction#:~:text=,you%20need%20to%20leave%20immediately" TargetMode="External" /><Relationship Type="http://schemas.openxmlformats.org/officeDocument/2006/relationships/hyperlink" Id="rId48" Target="https://www.rentcafe.com/average-rent-market-trends/us/ma/marlborough/" TargetMode="External" /><Relationship Type="http://schemas.openxmlformats.org/officeDocument/2006/relationships/hyperlink" Id="rId22" Target="https://www.rentcafe.com/average-rent-market-trends/us/ma/marlborough/#:~:text=The%20average%20rent%20for%20an,the%20average%20rent%20was%20%242%2C456" TargetMode="External" /><Relationship Type="http://schemas.openxmlformats.org/officeDocument/2006/relationships/hyperlink" Id="rId51" Target="https://www.signalrealestate.com/blog/boston-multi-family-cap-rates-2025-complete-investor-guide/" TargetMode="External" /><Relationship Type="http://schemas.openxmlformats.org/officeDocument/2006/relationships/hyperlink" Id="rId26" Target="https://www.signalrealestate.com/blog/boston-multi-family-cap-rates-2025-complete-investor-guide/#:~:text=,7.5" TargetMode="External" /><Relationship Type="http://schemas.openxmlformats.org/officeDocument/2006/relationships/hyperlink" Id="rId47" Target="https://www.zillow.com/rental-manager/market-trends/marlborough-ma/" TargetMode="External" /><Relationship Type="http://schemas.openxmlformats.org/officeDocument/2006/relationships/hyperlink" Id="rId21" Target="https://www.zillow.com/rental-manager/market-trends/marlborough-ma/#:~:text=2,studio%20apartment%20in%20Marlborough%2C%20M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apartmentloanstore.com/glossary/cap-rate" TargetMode="External" /><Relationship Type="http://schemas.openxmlformats.org/officeDocument/2006/relationships/hyperlink" Id="rId25" Target="https://apartmentloanstore.com/glossary/cap-rate#:~:text=Multifamily%20Metro%20Mid%20%26%20High,74" TargetMode="External" /><Relationship Type="http://schemas.openxmlformats.org/officeDocument/2006/relationships/hyperlink" Id="rId52" Target="https://ecode360.com/9217014" TargetMode="External" /><Relationship Type="http://schemas.openxmlformats.org/officeDocument/2006/relationships/hyperlink" Id="rId27" Target="https://ecode360.com/9217014#:~:text=Conversion%20of%20a%20single,accommodate%20two%20families%2C%20provided%20that" TargetMode="External" /><Relationship Type="http://schemas.openxmlformats.org/officeDocument/2006/relationships/hyperlink" Id="rId28" Target="https://ecode360.com/9217014#:~:text=Two%20residential%20structures%20on%20a,subject%20to%20the%20following%20conditions" TargetMode="External" /><Relationship Type="http://schemas.openxmlformats.org/officeDocument/2006/relationships/hyperlink" Id="rId58" Target="https://marlboroughedc.com/fast-facts-data/" TargetMode="External" /><Relationship Type="http://schemas.openxmlformats.org/officeDocument/2006/relationships/hyperlink" Id="rId34" Target="https://marlboroughedc.com/fast-facts-data/#:~:text=Premier%20Companies%3A%20Cytiva%2C%20Boston%20Scientific%2C,DuPont%2C%20Ken%E2%80%99s%20Foods%2C%20Lifeward%2C%20Sartorius" TargetMode="External" /><Relationship Type="http://schemas.openxmlformats.org/officeDocument/2006/relationships/hyperlink" Id="rId59" Target="https://marlboroughedc.com/life-sciences-hub/" TargetMode="External" /><Relationship Type="http://schemas.openxmlformats.org/officeDocument/2006/relationships/hyperlink" Id="rId35" Target="https://marlboroughedc.com/life-sciences-hub/#:~:text=Tax%20Increment%20Financing%20,Growth%20in%20Marlborough" TargetMode="External" /><Relationship Type="http://schemas.openxmlformats.org/officeDocument/2006/relationships/hyperlink" Id="rId49" Target="https://warrenre.com/blog/maximizing-your-return-on-investment-understanding-cap-rates-in-the-boston-real-estate-market" TargetMode="External" /><Relationship Type="http://schemas.openxmlformats.org/officeDocument/2006/relationships/hyperlink" Id="rId24" Target="https://warrenre.com/blog/maximizing-your-return-on-investment-understanding-cap-rates-in-the-boston-real-estate-market#:~:text=In%20the%20Boston%2C%20MA%20real,location%2C%20condition%2C%20and%20other%20factors" TargetMode="External" /><Relationship Type="http://schemas.openxmlformats.org/officeDocument/2006/relationships/hyperlink" Id="rId57" Target="https://www.marlborough-ma.gov/369/Present-Past-Tax-Rates" TargetMode="External" /><Relationship Type="http://schemas.openxmlformats.org/officeDocument/2006/relationships/hyperlink" Id="rId33" Target="https://www.marlborough-ma.gov/369/Present-Past-Tax-Rates#:~:text=2026%2010,66%20N%2FA%20N%2FA" TargetMode="External" /><Relationship Type="http://schemas.openxmlformats.org/officeDocument/2006/relationships/hyperlink" Id="rId56" Target="https://www.mass.gov/doc/final-summary-for-25-21-an-initiative-petition-to-protect-tenants-by-limiting-rent-increases/download" TargetMode="External" /><Relationship Type="http://schemas.openxmlformats.org/officeDocument/2006/relationships/hyperlink" Id="rId32" Target="https://www.mass.gov/doc/final-summary-for-25-21-an-initiative-petition-to-protect-tenants-by-limiting-rent-increases/download#:~:text=This%20proposed%20law%20would%20limit,a%20violation%20of%20the%20state" TargetMode="External" /><Relationship Type="http://schemas.openxmlformats.org/officeDocument/2006/relationships/hyperlink" Id="rId53" Target="https://www.mass.gov/info-details/accessory-dwelling-units" TargetMode="External" /><Relationship Type="http://schemas.openxmlformats.org/officeDocument/2006/relationships/hyperlink" Id="rId29" Target="https://www.mass.gov/info-details/accessory-dwelling-units#:~:text=On%20Aug,will%20make%20a%20big%20difference" TargetMode="External" /><Relationship Type="http://schemas.openxmlformats.org/officeDocument/2006/relationships/hyperlink" Id="rId54" Target="https://www.mass.gov/info-details/security-deposits-and-last-months-rent" TargetMode="External" /><Relationship Type="http://schemas.openxmlformats.org/officeDocument/2006/relationships/hyperlink" Id="rId30" Target="https://www.mass.gov/info-details/security-deposits-and-last-months-rent#:~:text=Landlords%20are%C2%A0allowed%20to%20collect%20the,for%20a%20lock%20and%20key" TargetMode="External" /><Relationship Type="http://schemas.openxmlformats.org/officeDocument/2006/relationships/hyperlink" Id="rId55" Target="https://www.mass.gov/info-details/tenants-guide-to-eviction" TargetMode="External" /><Relationship Type="http://schemas.openxmlformats.org/officeDocument/2006/relationships/hyperlink" Id="rId31" Target="https://www.mass.gov/info-details/tenants-guide-to-eviction#:~:text=,you%20need%20to%20leave%20immediately" TargetMode="External" /><Relationship Type="http://schemas.openxmlformats.org/officeDocument/2006/relationships/hyperlink" Id="rId48" Target="https://www.rentcafe.com/average-rent-market-trends/us/ma/marlborough/" TargetMode="External" /><Relationship Type="http://schemas.openxmlformats.org/officeDocument/2006/relationships/hyperlink" Id="rId22" Target="https://www.rentcafe.com/average-rent-market-trends/us/ma/marlborough/#:~:text=The%20average%20rent%20for%20an,the%20average%20rent%20was%20%242%2C456" TargetMode="External" /><Relationship Type="http://schemas.openxmlformats.org/officeDocument/2006/relationships/hyperlink" Id="rId51" Target="https://www.signalrealestate.com/blog/boston-multi-family-cap-rates-2025-complete-investor-guide/" TargetMode="External" /><Relationship Type="http://schemas.openxmlformats.org/officeDocument/2006/relationships/hyperlink" Id="rId26" Target="https://www.signalrealestate.com/blog/boston-multi-family-cap-rates-2025-complete-investor-guide/#:~:text=,7.5" TargetMode="External" /><Relationship Type="http://schemas.openxmlformats.org/officeDocument/2006/relationships/hyperlink" Id="rId47" Target="https://www.zillow.com/rental-manager/market-trends/marlborough-ma/" TargetMode="External" /><Relationship Type="http://schemas.openxmlformats.org/officeDocument/2006/relationships/hyperlink" Id="rId21" Target="https://www.zillow.com/rental-manager/market-trends/marlborough-ma/#:~:text=2,studio%20apartment%20in%20Marlborough%2C%20M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2026-02-02T23:34:54Z</dcterms:created>
  <dcterms:modified xsi:type="dcterms:W3CDTF">2026-02-02T23:34:54Z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