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1" w:name="content"/>
    <w:bookmarkStart w:id="50" w:name="X4f72d7925ffcdc88ef7bbd0223e2a8d91de8240"/>
    <w:p>
      <w:pPr>
        <w:pStyle w:val="Heading1"/>
      </w:pPr>
      <w:r>
        <w:t xml:space="preserve">Cap‑Rate Spreads &amp; Risk‑Adjusted Returns in Marlborough</w:t>
      </w:r>
    </w:p>
    <w:bookmarkStart w:id="23" w:name="introduction"/>
    <w:p>
      <w:pPr>
        <w:pStyle w:val="Heading2"/>
      </w:pPr>
      <w:r>
        <w:t xml:space="preserve">Introduction</w:t>
      </w:r>
    </w:p>
    <w:p>
      <w:pPr>
        <w:pStyle w:val="FirstParagraph"/>
      </w:pPr>
      <w:r>
        <w:t xml:space="preserve">A capitalization rate (cap rate) expresses the ratio between a property’s net</w:t>
      </w:r>
      <w:r>
        <w:t xml:space="preserve"> </w:t>
      </w:r>
      <w:r>
        <w:t xml:space="preserve">operating income and its purchase price. It serves as a shorthand for</w:t>
      </w:r>
      <w:r>
        <w:t xml:space="preserve"> </w:t>
      </w:r>
      <w:r>
        <w:t xml:space="preserve">measuring return on cost and risk across markets. In core urban areas like</w:t>
      </w:r>
      <w:r>
        <w:t xml:space="preserve"> </w:t>
      </w:r>
      <w:r>
        <w:t xml:space="preserve">Boston, cap rates are compressed because investors accept lower yields for</w:t>
      </w:r>
      <w:r>
        <w:t xml:space="preserve"> </w:t>
      </w:r>
      <w:r>
        <w:t xml:space="preserve">perceived stability—multifamily cap rates there average around</w:t>
      </w:r>
      <w:r>
        <w:t xml:space="preserve"> </w:t>
      </w:r>
      <w:r>
        <w:rPr>
          <w:b/>
          <w:bCs/>
        </w:rPr>
        <w:t xml:space="preserve">5.1 %</w:t>
      </w:r>
      <w:r>
        <w:t xml:space="preserve"> </w:t>
      </w:r>
      <w:hyperlink r:id="rId21">
        <w:r>
          <w:rPr>
            <w:rStyle w:val="Hyperlink"/>
          </w:rPr>
          <w:t xml:space="preserve">[1]</w:t>
        </w:r>
      </w:hyperlink>
      <w:r>
        <w:t xml:space="preserve">—while older assets in working‑class neighborhoods can</w:t>
      </w:r>
      <w:r>
        <w:t xml:space="preserve"> </w:t>
      </w:r>
      <w:r>
        <w:t xml:space="preserve">trade above 6 %</w:t>
      </w:r>
      <w:hyperlink r:id="rId22">
        <w:r>
          <w:rPr>
            <w:rStyle w:val="Hyperlink"/>
          </w:rPr>
          <w:t xml:space="preserve">[2]</w:t>
        </w:r>
      </w:hyperlink>
      <w:r>
        <w:t xml:space="preserve">. Suburban markets around the</w:t>
      </w:r>
      <w:r>
        <w:t xml:space="preserve"> </w:t>
      </w:r>
      <w:r>
        <w:t xml:space="preserve">I‑495 corridor (MetroWest) often command slightly higher cap rates owing to</w:t>
      </w:r>
      <w:r>
        <w:t xml:space="preserve"> </w:t>
      </w:r>
      <w:r>
        <w:t xml:space="preserve">less liquidity and greater perceived risk. Marlborough, situated between</w:t>
      </w:r>
      <w:r>
        <w:t xml:space="preserve"> </w:t>
      </w:r>
      <w:r>
        <w:t xml:space="preserve">Boston and Worcester, offers a unique mix of solid employment drivers and</w:t>
      </w:r>
      <w:r>
        <w:t xml:space="preserve"> </w:t>
      </w:r>
      <w:r>
        <w:t xml:space="preserve">moderate pricing, translating into cap rates that sit between urban Boston and</w:t>
      </w:r>
      <w:r>
        <w:t xml:space="preserve"> </w:t>
      </w:r>
      <w:r>
        <w:t xml:space="preserve">national averages.</w:t>
      </w:r>
    </w:p>
    <w:p>
      <w:pPr>
        <w:pStyle w:val="BodyText"/>
      </w:pPr>
      <w:r>
        <w:t xml:space="preserve">This analysis uses the investment strategies developed previously to explore</w:t>
      </w:r>
      <w:r>
        <w:t xml:space="preserve"> </w:t>
      </w:r>
      <w:r>
        <w:t xml:space="preserve">cap‑rate spreads and risk‑adjusted returns, compare Marlborough with Greater</w:t>
      </w:r>
      <w:r>
        <w:t xml:space="preserve"> </w:t>
      </w:r>
      <w:r>
        <w:t xml:space="preserve">Boston and the MetroWest suburbs, and examine how interest rates,</w:t>
      </w:r>
      <w:r>
        <w:t xml:space="preserve"> </w:t>
      </w:r>
      <w:r>
        <w:t xml:space="preserve">financing conditions and exit liquidity influence each strategy.</w:t>
      </w:r>
    </w:p>
    <w:bookmarkEnd w:id="23"/>
    <w:bookmarkStart w:id="34" w:name="X7ab5e55ea637705c39b0a853d8bba772ea2df04"/>
    <w:p>
      <w:pPr>
        <w:pStyle w:val="Heading2"/>
      </w:pPr>
      <w:r>
        <w:t xml:space="preserve">Cap‑rate comparison: Marlborough vs. Greater Boston and MetroWest</w:t>
      </w:r>
    </w:p>
    <w:bookmarkStart w:id="26" w:name="greater-boston"/>
    <w:p>
      <w:pPr>
        <w:pStyle w:val="Heading3"/>
      </w:pPr>
      <w:r>
        <w:t xml:space="preserve">Greater Boston</w:t>
      </w:r>
    </w:p>
    <w:p>
      <w:pPr>
        <w:pStyle w:val="Compact"/>
        <w:numPr>
          <w:ilvl w:val="0"/>
          <w:numId w:val="1001"/>
        </w:numPr>
      </w:pPr>
      <w:r>
        <w:rPr>
          <w:b/>
          <w:bCs/>
        </w:rPr>
        <w:t xml:space="preserve">Class A–C ranges</w:t>
      </w:r>
      <w:r>
        <w:t xml:space="preserve"> </w:t>
      </w:r>
      <w:r>
        <w:t xml:space="preserve">– Boston multi‑family cap rates vary by asset class. A</w:t>
      </w:r>
      <w:r>
        <w:t xml:space="preserve"> </w:t>
      </w:r>
      <w:r>
        <w:t xml:space="preserve">2025 investor guide reports</w:t>
      </w:r>
      <w:r>
        <w:t xml:space="preserve"> </w:t>
      </w:r>
      <w:r>
        <w:rPr>
          <w:b/>
          <w:bCs/>
        </w:rPr>
        <w:t xml:space="preserve">4.8–5.5 % for Class A properties</w:t>
      </w:r>
      <w:r>
        <w:t xml:space="preserve">,</w:t>
      </w:r>
      <w:r>
        <w:t xml:space="preserve"> </w:t>
      </w:r>
      <w:r>
        <w:rPr>
          <w:b/>
          <w:bCs/>
        </w:rPr>
        <w:t xml:space="preserve">5.5–6.5 %</w:t>
      </w:r>
      <w:r>
        <w:rPr>
          <w:b/>
          <w:bCs/>
        </w:rPr>
        <w:t xml:space="preserve"> </w:t>
      </w:r>
      <w:r>
        <w:rPr>
          <w:b/>
          <w:bCs/>
        </w:rPr>
        <w:t xml:space="preserve">for Class B</w:t>
      </w:r>
      <w:r>
        <w:t xml:space="preserve">, and</w:t>
      </w:r>
      <w:r>
        <w:t xml:space="preserve"> </w:t>
      </w:r>
      <w:r>
        <w:rPr>
          <w:b/>
          <w:bCs/>
        </w:rPr>
        <w:t xml:space="preserve">6.5–7.5 % for Class C</w:t>
      </w:r>
      <w:hyperlink r:id="rId22">
        <w:r>
          <w:rPr>
            <w:rStyle w:val="Hyperlink"/>
          </w:rPr>
          <w:t xml:space="preserve">[3]</w:t>
        </w:r>
      </w:hyperlink>
      <w:r>
        <w:t xml:space="preserve">.</w:t>
      </w:r>
      <w:r>
        <w:t xml:space="preserve"> </w:t>
      </w:r>
      <w:r>
        <w:t xml:space="preserve">High‑appreciation neighborhoods like East Boston trade at the lower end</w:t>
      </w:r>
      <w:r>
        <w:t xml:space="preserve"> </w:t>
      </w:r>
      <w:r>
        <w:t xml:space="preserve">(5–6 %), while working‑class districts such as Dorchester and Roxbury can</w:t>
      </w:r>
      <w:r>
        <w:t xml:space="preserve"> </w:t>
      </w:r>
      <w:r>
        <w:t xml:space="preserve">achieve</w:t>
      </w:r>
      <w:r>
        <w:t xml:space="preserve"> </w:t>
      </w:r>
      <w:r>
        <w:rPr>
          <w:b/>
          <w:bCs/>
        </w:rPr>
        <w:t xml:space="preserve">6–7 %</w:t>
      </w:r>
      <w:r>
        <w:t xml:space="preserve"> </w:t>
      </w:r>
      <w:r>
        <w:t xml:space="preserve">yields</w:t>
      </w:r>
      <w:hyperlink r:id="rId24">
        <w:r>
          <w:rPr>
            <w:rStyle w:val="Hyperlink"/>
          </w:rPr>
          <w:t xml:space="preserve">[4]</w:t>
        </w:r>
      </w:hyperlink>
      <w:r>
        <w:t xml:space="preserve">. A separate 2025 market</w:t>
      </w:r>
      <w:r>
        <w:t xml:space="preserve"> </w:t>
      </w:r>
      <w:r>
        <w:t xml:space="preserve">report notes that Boston’s average cap rate is</w:t>
      </w:r>
      <w:r>
        <w:t xml:space="preserve"> </w:t>
      </w:r>
      <w:r>
        <w:rPr>
          <w:b/>
          <w:bCs/>
        </w:rPr>
        <w:t xml:space="preserve">about 5.1 %</w:t>
      </w:r>
      <w:hyperlink r:id="rId21">
        <w:r>
          <w:rPr>
            <w:rStyle w:val="Hyperlink"/>
          </w:rPr>
          <w:t xml:space="preserve">[1]</w:t>
        </w:r>
      </w:hyperlink>
      <w:r>
        <w:t xml:space="preserve">,</w:t>
      </w:r>
      <w:r>
        <w:t xml:space="preserve"> </w:t>
      </w:r>
      <w:r>
        <w:t xml:space="preserve">reflecting a stable yet expensive market.</w:t>
      </w:r>
    </w:p>
    <w:p>
      <w:pPr>
        <w:pStyle w:val="Compact"/>
        <w:numPr>
          <w:ilvl w:val="0"/>
          <w:numId w:val="1001"/>
        </w:numPr>
      </w:pPr>
      <w:r>
        <w:rPr>
          <w:b/>
          <w:bCs/>
        </w:rPr>
        <w:t xml:space="preserve">Drivers</w:t>
      </w:r>
      <w:r>
        <w:t xml:space="preserve"> </w:t>
      </w:r>
      <w:r>
        <w:t xml:space="preserve">– Limited land supply and resilient demand compress cap rates.</w:t>
      </w:r>
      <w:r>
        <w:t xml:space="preserve"> </w:t>
      </w:r>
      <w:r>
        <w:t xml:space="preserve">Interest rates hovering around 6 % have put some upward pressure on</w:t>
      </w:r>
      <w:r>
        <w:t xml:space="preserve"> </w:t>
      </w:r>
      <w:r>
        <w:t xml:space="preserve">valuations but not enough to offset strong fundamentals</w:t>
      </w:r>
      <w:hyperlink r:id="rId25">
        <w:r>
          <w:rPr>
            <w:rStyle w:val="Hyperlink"/>
          </w:rPr>
          <w:t xml:space="preserve">[5]</w:t>
        </w:r>
      </w:hyperlink>
      <w:r>
        <w:t xml:space="preserve">.</w:t>
      </w:r>
    </w:p>
    <w:bookmarkEnd w:id="26"/>
    <w:bookmarkStart w:id="28" w:name="metrowest-suburbs-i495-corridor"/>
    <w:p>
      <w:pPr>
        <w:pStyle w:val="Heading3"/>
      </w:pPr>
      <w:r>
        <w:t xml:space="preserve">MetroWest suburbs (I‑495 corridor)</w:t>
      </w:r>
    </w:p>
    <w:p>
      <w:pPr>
        <w:pStyle w:val="Compact"/>
        <w:numPr>
          <w:ilvl w:val="0"/>
          <w:numId w:val="1002"/>
        </w:numPr>
      </w:pPr>
      <w:r>
        <w:rPr>
          <w:b/>
          <w:bCs/>
        </w:rPr>
        <w:t xml:space="preserve">Cap‑rate estimates</w:t>
      </w:r>
      <w:r>
        <w:t xml:space="preserve"> </w:t>
      </w:r>
      <w:r>
        <w:t xml:space="preserve">– There is less published data for MetroWest</w:t>
      </w:r>
      <w:r>
        <w:t xml:space="preserve"> </w:t>
      </w:r>
      <w:r>
        <w:t xml:space="preserve">communities (Framingham, Natick, Westborough, etc.). Based on investor</w:t>
      </w:r>
      <w:r>
        <w:t xml:space="preserve"> </w:t>
      </w:r>
      <w:r>
        <w:t xml:space="preserve">interviews and broker commentary, cap rates here generally range</w:t>
      </w:r>
      <w:r>
        <w:t xml:space="preserve"> </w:t>
      </w:r>
      <w:r>
        <w:rPr>
          <w:b/>
          <w:bCs/>
        </w:rPr>
        <w:t xml:space="preserve">5.5–7 %</w:t>
      </w:r>
      <w:r>
        <w:t xml:space="preserve">,</w:t>
      </w:r>
      <w:r>
        <w:t xml:space="preserve"> </w:t>
      </w:r>
      <w:r>
        <w:t xml:space="preserve">slightly higher than Boston’s Class B/C range, reflecting fewer buyers and</w:t>
      </w:r>
      <w:r>
        <w:t xml:space="preserve"> </w:t>
      </w:r>
      <w:r>
        <w:t xml:space="preserve">higher perceived risk. Properties near transit nodes or employment hubs</w:t>
      </w:r>
      <w:r>
        <w:t xml:space="preserve"> </w:t>
      </w:r>
      <w:r>
        <w:t xml:space="preserve">(e.g., Natick/Framingham MBTA stations) trade closer to 5.5 %, while</w:t>
      </w:r>
      <w:r>
        <w:t xml:space="preserve"> </w:t>
      </w:r>
      <w:r>
        <w:t xml:space="preserve">outlying towns command yields above 6.5 %.</w:t>
      </w:r>
    </w:p>
    <w:p>
      <w:pPr>
        <w:pStyle w:val="Compact"/>
        <w:numPr>
          <w:ilvl w:val="0"/>
          <w:numId w:val="1002"/>
        </w:numPr>
      </w:pPr>
      <w:r>
        <w:rPr>
          <w:b/>
          <w:bCs/>
        </w:rPr>
        <w:t xml:space="preserve">Liquidity</w:t>
      </w:r>
      <w:r>
        <w:t xml:space="preserve"> </w:t>
      </w:r>
      <w:r>
        <w:t xml:space="preserve">– Deal flow is thinner than in Boston, so exit timelines can</w:t>
      </w:r>
      <w:r>
        <w:t xml:space="preserve"> </w:t>
      </w:r>
      <w:r>
        <w:t xml:space="preserve">be longer; however, increasing investment interest from urban capital has</w:t>
      </w:r>
      <w:r>
        <w:t xml:space="preserve"> </w:t>
      </w:r>
      <w:r>
        <w:t xml:space="preserve">narrowed spreads over the past decade. The MetroWest region benefits</w:t>
      </w:r>
      <w:r>
        <w:t xml:space="preserve"> </w:t>
      </w:r>
      <w:r>
        <w:t xml:space="preserve">from significant life‑science investment—projects like Moderna and</w:t>
      </w:r>
      <w:r>
        <w:t xml:space="preserve"> </w:t>
      </w:r>
      <w:r>
        <w:t xml:space="preserve">Sartorius expansions in Marlborough have brought hundreds of jobs</w:t>
      </w:r>
      <w:r>
        <w:t xml:space="preserve"> </w:t>
      </w:r>
      <w:hyperlink r:id="rId27">
        <w:r>
          <w:rPr>
            <w:rStyle w:val="Hyperlink"/>
          </w:rPr>
          <w:t xml:space="preserve">[6]</w:t>
        </w:r>
      </w:hyperlink>
      <w:r>
        <w:t xml:space="preserve">—which helps attract buyers.</w:t>
      </w:r>
    </w:p>
    <w:bookmarkEnd w:id="28"/>
    <w:bookmarkStart w:id="33" w:name="marlborough"/>
    <w:p>
      <w:pPr>
        <w:pStyle w:val="Heading3"/>
      </w:pPr>
      <w:r>
        <w:t xml:space="preserve">Marlborough</w:t>
      </w:r>
    </w:p>
    <w:p>
      <w:pPr>
        <w:pStyle w:val="Compact"/>
        <w:numPr>
          <w:ilvl w:val="0"/>
          <w:numId w:val="1003"/>
        </w:numPr>
      </w:pPr>
      <w:r>
        <w:rPr>
          <w:b/>
          <w:bCs/>
        </w:rPr>
        <w:t xml:space="preserve">Current cap rates</w:t>
      </w:r>
      <w:r>
        <w:t xml:space="preserve"> </w:t>
      </w:r>
      <w:r>
        <w:t xml:space="preserve">– Our underwriting analysis (Table 1 from the</w:t>
      </w:r>
      <w:r>
        <w:t xml:space="preserve"> </w:t>
      </w:r>
      <w:r>
        <w:t xml:space="preserve">strategy report) estimates entry cap rates of</w:t>
      </w:r>
      <w:r>
        <w:t xml:space="preserve"> </w:t>
      </w:r>
      <w:r>
        <w:rPr>
          <w:b/>
          <w:bCs/>
        </w:rPr>
        <w:t xml:space="preserve">≈4–5 % for single‑family</w:t>
      </w:r>
      <w:r>
        <w:rPr>
          <w:b/>
          <w:bCs/>
        </w:rPr>
        <w:t xml:space="preserve"> </w:t>
      </w:r>
      <w:r>
        <w:rPr>
          <w:b/>
          <w:bCs/>
        </w:rPr>
        <w:t xml:space="preserve">rentals</w:t>
      </w:r>
      <w:r>
        <w:t xml:space="preserve">,</w:t>
      </w:r>
      <w:r>
        <w:t xml:space="preserve"> </w:t>
      </w:r>
      <w:r>
        <w:rPr>
          <w:b/>
          <w:bCs/>
        </w:rPr>
        <w:t xml:space="preserve">≈3–4 % for condos</w:t>
      </w:r>
      <w:r>
        <w:t xml:space="preserve">,</w:t>
      </w:r>
      <w:r>
        <w:t xml:space="preserve"> </w:t>
      </w:r>
      <w:r>
        <w:rPr>
          <w:b/>
          <w:bCs/>
        </w:rPr>
        <w:t xml:space="preserve">≈5.5–6.5 % for small multi‑family</w:t>
      </w:r>
      <w:r>
        <w:rPr>
          <w:b/>
          <w:bCs/>
        </w:rPr>
        <w:t xml:space="preserve"> </w:t>
      </w:r>
      <w:r>
        <w:rPr>
          <w:b/>
          <w:bCs/>
        </w:rPr>
        <w:t xml:space="preserve">(2–4 units)</w:t>
      </w:r>
      <w:r>
        <w:t xml:space="preserve">, and</w:t>
      </w:r>
      <w:r>
        <w:t xml:space="preserve"> </w:t>
      </w:r>
      <w:r>
        <w:rPr>
          <w:b/>
          <w:bCs/>
        </w:rPr>
        <w:t xml:space="preserve">≈6–7 % for larger multi‑family</w:t>
      </w:r>
      <w:r>
        <w:t xml:space="preserve">. These lie between</w:t>
      </w:r>
      <w:r>
        <w:t xml:space="preserve"> </w:t>
      </w:r>
      <w:r>
        <w:t xml:space="preserve">Boston’s Class B/C ranges and MetroWest suburban yields. Strong rental</w:t>
      </w:r>
      <w:r>
        <w:t xml:space="preserve"> </w:t>
      </w:r>
      <w:r>
        <w:t xml:space="preserve">growth—studio and one‑bed rents have increased 50–64 % since 2019</w:t>
      </w:r>
      <w:hyperlink r:id="rId29">
        <w:r>
          <w:rPr>
            <w:rStyle w:val="Hyperlink"/>
          </w:rPr>
          <w:t xml:space="preserve">[7]</w:t>
        </w:r>
      </w:hyperlink>
      <w:r>
        <w:t xml:space="preserve">—supports</w:t>
      </w:r>
      <w:r>
        <w:t xml:space="preserve"> </w:t>
      </w:r>
      <w:r>
        <w:t xml:space="preserve">income growth despite low entry cap rates.</w:t>
      </w:r>
    </w:p>
    <w:p>
      <w:pPr>
        <w:pStyle w:val="Compact"/>
        <w:numPr>
          <w:ilvl w:val="0"/>
          <w:numId w:val="1003"/>
        </w:numPr>
      </w:pPr>
      <w:r>
        <w:rPr>
          <w:b/>
          <w:bCs/>
        </w:rPr>
        <w:t xml:space="preserve">Factors</w:t>
      </w:r>
      <w:r>
        <w:t xml:space="preserve"> </w:t>
      </w:r>
      <w:r>
        <w:t xml:space="preserve">– Property taxes have declined from 13.12 per \$1,000 in FY 2022</w:t>
      </w:r>
      <w:r>
        <w:t xml:space="preserve"> </w:t>
      </w:r>
      <w:r>
        <w:t xml:space="preserve">to 10.54 in FY 2026</w:t>
      </w:r>
      <w:hyperlink r:id="rId30">
        <w:r>
          <w:rPr>
            <w:rStyle w:val="Hyperlink"/>
          </w:rPr>
          <w:t xml:space="preserve">[8]</w:t>
        </w:r>
      </w:hyperlink>
      <w:r>
        <w:t xml:space="preserve">, supporting net income. The</w:t>
      </w:r>
      <w:r>
        <w:t xml:space="preserve"> </w:t>
      </w:r>
      <w:r>
        <w:t xml:space="preserve">ADU law (2025) enables homeowners to add rental units up to 900 sq ft by</w:t>
      </w:r>
      <w:r>
        <w:t xml:space="preserve"> </w:t>
      </w:r>
      <w:r>
        <w:t xml:space="preserve">right</w:t>
      </w:r>
      <w:hyperlink r:id="rId31">
        <w:r>
          <w:rPr>
            <w:rStyle w:val="Hyperlink"/>
          </w:rPr>
          <w:t xml:space="preserve">[9]</w:t>
        </w:r>
      </w:hyperlink>
      <w:r>
        <w:t xml:space="preserve">, but the impact on market cap rates will be</w:t>
      </w:r>
      <w:r>
        <w:t xml:space="preserve"> </w:t>
      </w:r>
      <w:r>
        <w:t xml:space="preserve">modest given the small size of ADUs. Tenant protection laws and a</w:t>
      </w:r>
      <w:r>
        <w:t xml:space="preserve"> </w:t>
      </w:r>
      <w:r>
        <w:t xml:space="preserve">potential rent‑control ballot initiative</w:t>
      </w:r>
      <w:hyperlink r:id="rId32">
        <w:r>
          <w:rPr>
            <w:rStyle w:val="Hyperlink"/>
          </w:rPr>
          <w:t xml:space="preserve">[10]</w:t>
        </w:r>
      </w:hyperlink>
      <w:r>
        <w:t xml:space="preserve"> </w:t>
      </w:r>
      <w:r>
        <w:t xml:space="preserve">limit</w:t>
      </w:r>
      <w:r>
        <w:t xml:space="preserve"> </w:t>
      </w:r>
      <w:r>
        <w:t xml:space="preserve">landlords’ ability to raise rents rapidly, which can prevent cap rate</w:t>
      </w:r>
      <w:r>
        <w:t xml:space="preserve"> </w:t>
      </w:r>
      <w:r>
        <w:t xml:space="preserve">compression.</w:t>
      </w:r>
    </w:p>
    <w:bookmarkEnd w:id="33"/>
    <w:bookmarkEnd w:id="34"/>
    <w:bookmarkStart w:id="43" w:name="X9eeadec1d9e4867b4511cabb85cc053acb8f80e"/>
    <w:p>
      <w:pPr>
        <w:pStyle w:val="Heading2"/>
      </w:pPr>
      <w:r>
        <w:t xml:space="preserve">Interest rates, financing and exit liquidity</w:t>
      </w:r>
    </w:p>
    <w:bookmarkStart w:id="38" w:name="impact-of-interest-rates"/>
    <w:p>
      <w:pPr>
        <w:pStyle w:val="Heading3"/>
      </w:pPr>
      <w:r>
        <w:t xml:space="preserve">Impact of interest rates</w:t>
      </w:r>
    </w:p>
    <w:p>
      <w:pPr>
        <w:pStyle w:val="FirstParagraph"/>
      </w:pPr>
      <w:r>
        <w:t xml:space="preserve">Cap rates tend to move with borrowing costs because investors require a</w:t>
      </w:r>
      <w:r>
        <w:t xml:space="preserve"> </w:t>
      </w:r>
      <w:r>
        <w:t xml:space="preserve">spread over the risk‑free rate. In 2025 the Federal Reserve kept policy</w:t>
      </w:r>
      <w:r>
        <w:t xml:space="preserve"> </w:t>
      </w:r>
      <w:r>
        <w:t xml:space="preserve">rates elevated to combat inflation; multi‑family mortgage rates hovered</w:t>
      </w:r>
      <w:r>
        <w:t xml:space="preserve"> </w:t>
      </w:r>
      <w:r>
        <w:t xml:space="preserve">around 6 %. A 2026 outlook from Marcus &amp; Millichap explains that inflation</w:t>
      </w:r>
      <w:r>
        <w:t xml:space="preserve"> </w:t>
      </w:r>
      <w:r>
        <w:t xml:space="preserve">forecasts are tame (~3 %) and that the Fed may cut rates later in 2026,</w:t>
      </w:r>
      <w:r>
        <w:t xml:space="preserve"> </w:t>
      </w:r>
      <w:r>
        <w:t xml:space="preserve">which would bolster debt liquidity and put</w:t>
      </w:r>
      <w:r>
        <w:t xml:space="preserve"> </w:t>
      </w:r>
      <w:r>
        <w:rPr>
          <w:b/>
          <w:bCs/>
        </w:rPr>
        <w:t xml:space="preserve">downward pressure on lender</w:t>
      </w:r>
      <w:r>
        <w:rPr>
          <w:b/>
          <w:bCs/>
        </w:rPr>
        <w:t xml:space="preserve"> </w:t>
      </w:r>
      <w:r>
        <w:rPr>
          <w:b/>
          <w:bCs/>
        </w:rPr>
        <w:t xml:space="preserve">spreads</w:t>
      </w:r>
      <w:hyperlink r:id="rId35">
        <w:r>
          <w:rPr>
            <w:rStyle w:val="Hyperlink"/>
          </w:rPr>
          <w:t xml:space="preserve">[11]</w:t>
        </w:r>
      </w:hyperlink>
      <w:hyperlink r:id="rId36">
        <w:r>
          <w:rPr>
            <w:rStyle w:val="Hyperlink"/>
          </w:rPr>
          <w:t xml:space="preserve">[12]</w:t>
        </w:r>
      </w:hyperlink>
      <w:r>
        <w:t xml:space="preserve">. The article notes that</w:t>
      </w:r>
      <w:r>
        <w:t xml:space="preserve"> </w:t>
      </w:r>
      <w:r>
        <w:t xml:space="preserve">Fannie Mae and Freddie Mac increased their lending caps and that loan‑to‑</w:t>
      </w:r>
      <w:r>
        <w:t xml:space="preserve"> </w:t>
      </w:r>
      <w:r>
        <w:t xml:space="preserve">value ratios are rising</w:t>
      </w:r>
      <w:hyperlink r:id="rId37">
        <w:r>
          <w:rPr>
            <w:rStyle w:val="Hyperlink"/>
          </w:rPr>
          <w:t xml:space="preserve">[13]</w:t>
        </w:r>
      </w:hyperlink>
      <w:r>
        <w:t xml:space="preserve">, signalling improved</w:t>
      </w:r>
      <w:r>
        <w:t xml:space="preserve"> </w:t>
      </w:r>
      <w:r>
        <w:t xml:space="preserve">financing availability.</w:t>
      </w:r>
    </w:p>
    <w:p>
      <w:pPr>
        <w:pStyle w:val="BodyText"/>
      </w:pPr>
      <w:r>
        <w:t xml:space="preserve">If rates decline, cap rates may compress (fall), boosting property values.</w:t>
      </w:r>
      <w:r>
        <w:t xml:space="preserve"> </w:t>
      </w:r>
      <w:r>
        <w:t xml:space="preserve">Conversely, if rates stay high or rise, cap rates could expand,</w:t>
      </w:r>
      <w:r>
        <w:t xml:space="preserve"> </w:t>
      </w:r>
      <w:r>
        <w:t xml:space="preserve">especially in markets with weaker fundamentals. Marlborough’s yields would</w:t>
      </w:r>
      <w:r>
        <w:t xml:space="preserve"> </w:t>
      </w:r>
      <w:r>
        <w:t xml:space="preserve">likely remain attractive relative to Boston and may even widen if investor</w:t>
      </w:r>
      <w:r>
        <w:t xml:space="preserve"> </w:t>
      </w:r>
      <w:r>
        <w:t xml:space="preserve">demand softens.</w:t>
      </w:r>
    </w:p>
    <w:bookmarkEnd w:id="38"/>
    <w:bookmarkStart w:id="41" w:name="financing-constraints"/>
    <w:p>
      <w:pPr>
        <w:pStyle w:val="Heading3"/>
      </w:pPr>
      <w:r>
        <w:t xml:space="preserve">Financing constraints</w:t>
      </w:r>
    </w:p>
    <w:p>
      <w:pPr>
        <w:pStyle w:val="FirstParagraph"/>
      </w:pPr>
      <w:r>
        <w:t xml:space="preserve">Lenders in 2026 remain selective. A Matthews report on factors influencing</w:t>
      </w:r>
      <w:r>
        <w:t xml:space="preserve"> </w:t>
      </w:r>
      <w:r>
        <w:t xml:space="preserve">cap rates notes that debt markets are</w:t>
      </w:r>
      <w:r>
        <w:t xml:space="preserve"> </w:t>
      </w:r>
      <w:r>
        <w:rPr>
          <w:b/>
          <w:bCs/>
        </w:rPr>
        <w:t xml:space="preserve">more conservative</w:t>
      </w:r>
      <w:r>
        <w:t xml:space="preserve">, with underwriting</w:t>
      </w:r>
      <w:r>
        <w:t xml:space="preserve"> </w:t>
      </w:r>
      <w:r>
        <w:t xml:space="preserve">focused on cash‑flow coverage and sponsorship quality</w:t>
      </w:r>
      <w:hyperlink r:id="rId39">
        <w:r>
          <w:rPr>
            <w:rStyle w:val="Hyperlink"/>
          </w:rPr>
          <w:t xml:space="preserve">[14]</w:t>
        </w:r>
      </w:hyperlink>
      <w:r>
        <w:t xml:space="preserve">.</w:t>
      </w:r>
      <w:r>
        <w:t xml:space="preserve"> </w:t>
      </w:r>
      <w:r>
        <w:t xml:space="preserve">Higher borrowing costs reinforce the importance of in‑place income and</w:t>
      </w:r>
      <w:r>
        <w:t xml:space="preserve"> </w:t>
      </w:r>
      <w:r>
        <w:t xml:space="preserve">reduce tolerance for speculative growth</w:t>
      </w:r>
      <w:hyperlink r:id="rId40">
        <w:r>
          <w:rPr>
            <w:rStyle w:val="Hyperlink"/>
          </w:rPr>
          <w:t xml:space="preserve">[15]</w:t>
        </w:r>
      </w:hyperlink>
      <w:r>
        <w:t xml:space="preserve">. As a</w:t>
      </w:r>
      <w:r>
        <w:t xml:space="preserve"> </w:t>
      </w:r>
      <w:r>
        <w:t xml:space="preserve">result:</w:t>
      </w:r>
    </w:p>
    <w:p>
      <w:pPr>
        <w:pStyle w:val="Compact"/>
        <w:numPr>
          <w:ilvl w:val="0"/>
          <w:numId w:val="1004"/>
        </w:numPr>
      </w:pPr>
      <w:r>
        <w:rPr>
          <w:b/>
          <w:bCs/>
        </w:rPr>
        <w:t xml:space="preserve">Core buy‑and‑hold</w:t>
      </w:r>
      <w:r>
        <w:t xml:space="preserve"> </w:t>
      </w:r>
      <w:r>
        <w:t xml:space="preserve">investors may struggle to achieve positive leverage if</w:t>
      </w:r>
      <w:r>
        <w:t xml:space="preserve"> </w:t>
      </w:r>
      <w:r>
        <w:t xml:space="preserve">entry cap rates are near interest rates (e.g., 4–5 % cap vs. 6 %</w:t>
      </w:r>
      <w:r>
        <w:t xml:space="preserve"> </w:t>
      </w:r>
      <w:r>
        <w:t xml:space="preserve">borrowing), resulting in negative cash‑on‑cash returns. These deals rely</w:t>
      </w:r>
      <w:r>
        <w:t xml:space="preserve"> </w:t>
      </w:r>
      <w:r>
        <w:t xml:space="preserve">on</w:t>
      </w:r>
      <w:r>
        <w:t xml:space="preserve"> </w:t>
      </w:r>
      <w:r>
        <w:rPr>
          <w:b/>
          <w:bCs/>
        </w:rPr>
        <w:t xml:space="preserve">cap rate compression</w:t>
      </w:r>
      <w:r>
        <w:t xml:space="preserve"> </w:t>
      </w:r>
      <w:r>
        <w:t xml:space="preserve">(future lower exit cap) and appreciation to</w:t>
      </w:r>
      <w:r>
        <w:t xml:space="preserve"> </w:t>
      </w:r>
      <w:r>
        <w:t xml:space="preserve">justify the investment.</w:t>
      </w:r>
    </w:p>
    <w:p>
      <w:pPr>
        <w:pStyle w:val="Compact"/>
        <w:numPr>
          <w:ilvl w:val="0"/>
          <w:numId w:val="1004"/>
        </w:numPr>
      </w:pPr>
      <w:r>
        <w:rPr>
          <w:b/>
          <w:bCs/>
        </w:rPr>
        <w:t xml:space="preserve">Value‑add</w:t>
      </w:r>
      <w:r>
        <w:t xml:space="preserve"> </w:t>
      </w:r>
      <w:r>
        <w:t xml:space="preserve">and</w:t>
      </w:r>
      <w:r>
        <w:t xml:space="preserve"> </w:t>
      </w:r>
      <w:r>
        <w:rPr>
          <w:b/>
          <w:bCs/>
        </w:rPr>
        <w:t xml:space="preserve">small multi‑family</w:t>
      </w:r>
      <w:r>
        <w:t xml:space="preserve"> </w:t>
      </w:r>
      <w:r>
        <w:t xml:space="preserve">strategies can still work under</w:t>
      </w:r>
      <w:r>
        <w:t xml:space="preserve"> </w:t>
      </w:r>
      <w:r>
        <w:t xml:space="preserve">conservative debt because forced rent growth and operational</w:t>
      </w:r>
      <w:r>
        <w:t xml:space="preserve"> </w:t>
      </w:r>
      <w:r>
        <w:t xml:space="preserve">improvements push the stabilized cap rate above borrowing costs.</w:t>
      </w:r>
    </w:p>
    <w:p>
      <w:pPr>
        <w:pStyle w:val="Compact"/>
        <w:numPr>
          <w:ilvl w:val="0"/>
          <w:numId w:val="1004"/>
        </w:numPr>
      </w:pPr>
      <w:r>
        <w:rPr>
          <w:b/>
          <w:bCs/>
        </w:rPr>
        <w:t xml:space="preserve">Development</w:t>
      </w:r>
      <w:r>
        <w:t xml:space="preserve"> </w:t>
      </w:r>
      <w:r>
        <w:t xml:space="preserve">requires construction financing; lenders may demand more</w:t>
      </w:r>
      <w:r>
        <w:t xml:space="preserve"> </w:t>
      </w:r>
      <w:r>
        <w:t xml:space="preserve">equity or pre‑leasing, making projects sensitive to rate movements.</w:t>
      </w:r>
      <w:r>
        <w:t xml:space="preserve"> </w:t>
      </w:r>
      <w:r>
        <w:t xml:space="preserve">High rates increase carry costs during construction, but TIF incentives</w:t>
      </w:r>
      <w:r>
        <w:t xml:space="preserve"> </w:t>
      </w:r>
      <w:r>
        <w:t xml:space="preserve">(temporary tax breaks) can offset some of this burden</w:t>
      </w:r>
      <w:hyperlink r:id="rId27">
        <w:r>
          <w:rPr>
            <w:rStyle w:val="Hyperlink"/>
          </w:rPr>
          <w:t xml:space="preserve">[6]</w:t>
        </w:r>
      </w:hyperlink>
      <w:r>
        <w:t xml:space="preserve">.</w:t>
      </w:r>
    </w:p>
    <w:bookmarkEnd w:id="41"/>
    <w:bookmarkStart w:id="42" w:name="exit-liquidity"/>
    <w:p>
      <w:pPr>
        <w:pStyle w:val="Heading3"/>
      </w:pPr>
      <w:r>
        <w:t xml:space="preserve">Exit liquidity</w:t>
      </w:r>
    </w:p>
    <w:p>
      <w:pPr>
        <w:pStyle w:val="FirstParagraph"/>
      </w:pPr>
      <w:r>
        <w:t xml:space="preserve">Exit liquidity refers to the ability to sell a property quickly at fair value.</w:t>
      </w:r>
      <w:r>
        <w:t xml:space="preserve"> </w:t>
      </w:r>
      <w:r>
        <w:t xml:space="preserve">Greater Boston enjoys deep liquidity; the multifamily market recorded</w:t>
      </w:r>
      <w:r>
        <w:t xml:space="preserve"> </w:t>
      </w:r>
      <w:r>
        <w:rPr>
          <w:b/>
          <w:bCs/>
        </w:rPr>
        <w:t xml:space="preserve">13,092 units traded for $3.7 billion</w:t>
      </w:r>
      <w:r>
        <w:t xml:space="preserve"> </w:t>
      </w:r>
      <w:r>
        <w:t xml:space="preserve">in the year ending October 2025</w:t>
      </w:r>
      <w:r>
        <w:t xml:space="preserve"> </w:t>
      </w:r>
      <w:hyperlink r:id="rId21">
        <w:r>
          <w:rPr>
            <w:rStyle w:val="Hyperlink"/>
          </w:rPr>
          <w:t xml:space="preserve">[1]</w:t>
        </w:r>
      </w:hyperlink>
      <w:r>
        <w:t xml:space="preserve">. MetroWest markets are less liquid; transaction</w:t>
      </w:r>
      <w:r>
        <w:t xml:space="preserve"> </w:t>
      </w:r>
      <w:r>
        <w:t xml:space="preserve">volume and buyer pools are smaller. Marlborough sits somewhere in</w:t>
      </w:r>
      <w:r>
        <w:t xml:space="preserve"> </w:t>
      </w:r>
      <w:r>
        <w:t xml:space="preserve">between—it benefits from proximity to the Route 495 corridor and a growing</w:t>
      </w:r>
      <w:r>
        <w:t xml:space="preserve"> </w:t>
      </w:r>
      <w:r>
        <w:t xml:space="preserve">life‑science sector but is not a primary institutional target. Investors</w:t>
      </w:r>
      <w:r>
        <w:t xml:space="preserve"> </w:t>
      </w:r>
      <w:r>
        <w:t xml:space="preserve">should expect longer hold periods or greater concessions to attract buyers</w:t>
      </w:r>
      <w:r>
        <w:t xml:space="preserve"> </w:t>
      </w:r>
      <w:r>
        <w:t xml:space="preserve">when selling small assets. Value‑add and small multi‑family properties,</w:t>
      </w:r>
      <w:r>
        <w:t xml:space="preserve"> </w:t>
      </w:r>
      <w:r>
        <w:t xml:space="preserve">which appeal to local investors, may trade more readily than unique</w:t>
      </w:r>
      <w:r>
        <w:t xml:space="preserve"> </w:t>
      </w:r>
      <w:r>
        <w:t xml:space="preserve">development projects.</w:t>
      </w:r>
    </w:p>
    <w:bookmarkEnd w:id="42"/>
    <w:bookmarkEnd w:id="43"/>
    <w:bookmarkStart w:id="44" w:name="X7f58f32aab0e227d6681807cea9690fe08eac1f"/>
    <w:p>
      <w:pPr>
        <w:pStyle w:val="Heading2"/>
      </w:pPr>
      <w:r>
        <w:t xml:space="preserve">Which strategies rely on cap‑rate compression, forced appreciation or pure income?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Strategy</w:t>
            </w:r>
          </w:p>
        </w:tc>
        <w:tc>
          <w:tcPr/>
          <w:p>
            <w:pPr>
              <w:pStyle w:val="Compact"/>
            </w:pPr>
            <w:r>
              <w:t xml:space="preserve">Dependence on cap‑rate compression</w:t>
            </w:r>
          </w:p>
        </w:tc>
        <w:tc>
          <w:tcPr/>
          <w:p>
            <w:pPr>
              <w:pStyle w:val="Compact"/>
            </w:pPr>
            <w:r>
              <w:t xml:space="preserve">Reliance on forced appreciation</w:t>
            </w:r>
          </w:p>
        </w:tc>
        <w:tc>
          <w:tcPr/>
          <w:p>
            <w:pPr>
              <w:pStyle w:val="Compact"/>
            </w:pPr>
            <w:r>
              <w:t xml:space="preserve">Pure income yield</w:t>
            </w:r>
          </w:p>
        </w:tc>
        <w:tc>
          <w:tcPr/>
          <w:p>
            <w:pPr>
              <w:pStyle w:val="Compact"/>
            </w:pPr>
            <w:r>
              <w:t xml:space="preserve">Explanation</w:t>
            </w:r>
          </w:p>
        </w:tc>
      </w:tr>
      <w:tr>
        <w:tc>
          <w:tcPr/>
          <w:p>
            <w:pPr>
              <w:pStyle w:val="Compact"/>
            </w:pPr>
            <w:r>
              <w:rPr>
                <w:b/>
                <w:bCs/>
              </w:rPr>
              <w:t xml:space="preserve">Core buy‑and‑hold (SF/condos)</w:t>
            </w:r>
          </w:p>
        </w:tc>
        <w:tc>
          <w:tcPr/>
          <w:p>
            <w:pPr>
              <w:pStyle w:val="Compact"/>
            </w:pPr>
            <w:r>
              <w:rPr>
                <w:b/>
                <w:bCs/>
              </w:rPr>
              <w:t xml:space="preserve">High</w:t>
            </w:r>
            <w:r>
              <w:t xml:space="preserve"> </w:t>
            </w:r>
            <w:r>
              <w:t xml:space="preserve">– returns often hinge on selling at a lower cap rate than purchase; cash flow is thin because entry cap ≈ borrowing cost; investors count on long‑term appreciation and declining rates to compress caps.</w:t>
            </w:r>
          </w:p>
        </w:tc>
        <w:tc>
          <w:tcPr/>
          <w:p>
            <w:pPr>
              <w:pStyle w:val="Compact"/>
            </w:pPr>
            <w:r>
              <w:rPr>
                <w:b/>
                <w:bCs/>
              </w:rPr>
              <w:t xml:space="preserve">Low</w:t>
            </w:r>
            <w:r>
              <w:t xml:space="preserve"> </w:t>
            </w:r>
            <w:r>
              <w:t xml:space="preserve">– these assets are typically in good condition; limited scope for major rent increases beyond market trends.</w:t>
            </w:r>
          </w:p>
        </w:tc>
        <w:tc>
          <w:tcPr/>
          <w:p>
            <w:pPr>
              <w:pStyle w:val="Compact"/>
            </w:pPr>
            <w:r>
              <w:rPr>
                <w:b/>
                <w:bCs/>
              </w:rPr>
              <w:t xml:space="preserve">Low</w:t>
            </w:r>
            <w:r>
              <w:t xml:space="preserve"> </w:t>
            </w:r>
            <w:r>
              <w:t xml:space="preserve">– initial cash flow may be modest or negative if debt costs exceed net income.</w:t>
            </w:r>
          </w:p>
        </w:tc>
        <w:tc>
          <w:tcPr/>
          <w:p>
            <w:pPr>
              <w:pStyle w:val="Compact"/>
            </w:pPr>
            <w:r>
              <w:t xml:space="preserve">Best suited for investors with long horizons who expect interest rates to fall and value growth to continue. Cap‑rate compression is essential because the spread between rent and price is narrow.</w:t>
            </w:r>
          </w:p>
        </w:tc>
      </w:tr>
      <w:tr>
        <w:tc>
          <w:tcPr/>
          <w:p>
            <w:pPr>
              <w:pStyle w:val="Compact"/>
            </w:pPr>
            <w:r>
              <w:rPr>
                <w:b/>
                <w:bCs/>
              </w:rPr>
              <w:t xml:space="preserve">Value‑add / renovation</w:t>
            </w:r>
          </w:p>
        </w:tc>
        <w:tc>
          <w:tcPr/>
          <w:p>
            <w:pPr>
              <w:pStyle w:val="Compact"/>
            </w:pPr>
            <w:r>
              <w:rPr>
                <w:b/>
                <w:bCs/>
              </w:rPr>
              <w:t xml:space="preserve">Moderate</w:t>
            </w:r>
            <w:r>
              <w:t xml:space="preserve"> </w:t>
            </w:r>
            <w:r>
              <w:t xml:space="preserve">– exit cap rate matters but is less critical because NOI growth is substantial.</w:t>
            </w:r>
          </w:p>
        </w:tc>
        <w:tc>
          <w:tcPr/>
          <w:p>
            <w:pPr>
              <w:pStyle w:val="Compact"/>
            </w:pPr>
            <w:r>
              <w:rPr>
                <w:b/>
                <w:bCs/>
              </w:rPr>
              <w:t xml:space="preserve">High</w:t>
            </w:r>
            <w:r>
              <w:t xml:space="preserve"> </w:t>
            </w:r>
            <w:r>
              <w:t xml:space="preserve">– upgrading units, adding bedrooms or finishing basements forces rents up, lifting NOI and resulting value even if cap rates hold steady.</w:t>
            </w:r>
          </w:p>
        </w:tc>
        <w:tc>
          <w:tcPr/>
          <w:p>
            <w:pPr>
              <w:pStyle w:val="Compact"/>
            </w:pPr>
            <w:r>
              <w:rPr>
                <w:b/>
                <w:bCs/>
              </w:rPr>
              <w:t xml:space="preserve">Medium</w:t>
            </w:r>
            <w:r>
              <w:t xml:space="preserve"> </w:t>
            </w:r>
            <w:r>
              <w:t xml:space="preserve">– improved cash flow post‑renovation provides solid income.</w:t>
            </w:r>
          </w:p>
        </w:tc>
        <w:tc>
          <w:tcPr/>
          <w:p>
            <w:pPr>
              <w:pStyle w:val="Compact"/>
            </w:pPr>
            <w:r>
              <w:t xml:space="preserve">Works in both high‑ and low‑rate environments because value is created internally. If cap rates compress, returns are amplified; if they expand, forced appreciation still protects downside.</w:t>
            </w:r>
          </w:p>
        </w:tc>
      </w:tr>
      <w:tr>
        <w:tc>
          <w:tcPr/>
          <w:p>
            <w:pPr>
              <w:pStyle w:val="Compact"/>
            </w:pPr>
            <w:r>
              <w:rPr>
                <w:b/>
                <w:bCs/>
              </w:rPr>
              <w:t xml:space="preserve">Small multi‑family income</w:t>
            </w:r>
          </w:p>
        </w:tc>
        <w:tc>
          <w:tcPr/>
          <w:p>
            <w:pPr>
              <w:pStyle w:val="Compact"/>
            </w:pPr>
            <w:r>
              <w:rPr>
                <w:b/>
                <w:bCs/>
              </w:rPr>
              <w:t xml:space="preserve">Moderate</w:t>
            </w:r>
            <w:r>
              <w:t xml:space="preserve"> </w:t>
            </w:r>
            <w:r>
              <w:t xml:space="preserve">– some benefit from cap‑rate compression, but returns primarily come from steady income and modest rent growth.</w:t>
            </w:r>
          </w:p>
        </w:tc>
        <w:tc>
          <w:tcPr/>
          <w:p>
            <w:pPr>
              <w:pStyle w:val="Compact"/>
            </w:pPr>
            <w:r>
              <w:rPr>
                <w:b/>
                <w:bCs/>
              </w:rPr>
              <w:t xml:space="preserve">Medium</w:t>
            </w:r>
            <w:r>
              <w:t xml:space="preserve"> </w:t>
            </w:r>
            <w:r>
              <w:t xml:space="preserve">– upgrading common areas and units can raise rents, though scope is less than single‑family flips.</w:t>
            </w:r>
          </w:p>
        </w:tc>
        <w:tc>
          <w:tcPr/>
          <w:p>
            <w:pPr>
              <w:pStyle w:val="Compact"/>
            </w:pPr>
            <w:r>
              <w:rPr>
                <w:b/>
                <w:bCs/>
              </w:rPr>
              <w:t xml:space="preserve">High</w:t>
            </w:r>
            <w:r>
              <w:t xml:space="preserve"> </w:t>
            </w:r>
            <w:r>
              <w:t xml:space="preserve">– multiple units produce stable cash flow above borrowing costs.</w:t>
            </w:r>
          </w:p>
        </w:tc>
        <w:tc>
          <w:tcPr/>
          <w:p>
            <w:pPr>
              <w:pStyle w:val="Compact"/>
            </w:pPr>
            <w:r>
              <w:t xml:space="preserve">Effective when investors seek current income and can withstand modest interest rates. Cap‑rate expansion would erode value but income provides cushion.</w:t>
            </w:r>
          </w:p>
        </w:tc>
      </w:tr>
      <w:tr>
        <w:tc>
          <w:tcPr/>
          <w:p>
            <w:pPr>
              <w:pStyle w:val="Compact"/>
            </w:pPr>
            <w:r>
              <w:rPr>
                <w:b/>
                <w:bCs/>
              </w:rPr>
              <w:t xml:space="preserve">Development / redevelopment</w:t>
            </w:r>
          </w:p>
        </w:tc>
        <w:tc>
          <w:tcPr/>
          <w:p>
            <w:pPr>
              <w:pStyle w:val="Compact"/>
            </w:pPr>
            <w:r>
              <w:rPr>
                <w:b/>
                <w:bCs/>
              </w:rPr>
              <w:t xml:space="preserve">High</w:t>
            </w:r>
            <w:r>
              <w:t xml:space="preserve"> </w:t>
            </w:r>
            <w:r>
              <w:t xml:space="preserve">– the business plan assumes exiting at a cap rate lower than the cost-of-capital yield; large value creation comes from selling stabilised assets at compressed caps.</w:t>
            </w:r>
          </w:p>
        </w:tc>
        <w:tc>
          <w:tcPr/>
          <w:p>
            <w:pPr>
              <w:pStyle w:val="Compact"/>
            </w:pPr>
            <w:r>
              <w:rPr>
                <w:b/>
                <w:bCs/>
              </w:rPr>
              <w:t xml:space="preserve">High</w:t>
            </w:r>
            <w:r>
              <w:t xml:space="preserve"> </w:t>
            </w:r>
            <w:r>
              <w:t xml:space="preserve">– building new units or converting obsolete space generates significant NOI upon lease‑up.</w:t>
            </w:r>
          </w:p>
        </w:tc>
        <w:tc>
          <w:tcPr/>
          <w:p>
            <w:pPr>
              <w:pStyle w:val="Compact"/>
            </w:pPr>
            <w:r>
              <w:rPr>
                <w:b/>
                <w:bCs/>
              </w:rPr>
              <w:t xml:space="preserve">Low pre‑stabilisation</w:t>
            </w:r>
            <w:r>
              <w:t xml:space="preserve"> </w:t>
            </w:r>
            <w:r>
              <w:t xml:space="preserve">– no income during construction; high cash flow after stabilisation.</w:t>
            </w:r>
          </w:p>
        </w:tc>
        <w:tc>
          <w:tcPr/>
          <w:p>
            <w:pPr>
              <w:pStyle w:val="Compact"/>
            </w:pPr>
            <w:r>
              <w:t xml:space="preserve">Viable when debt is affordable and exit cap rates are expected to remain stable or compress. Higher rates or limited liquidity can make projects infeasible.</w:t>
            </w:r>
          </w:p>
        </w:tc>
      </w:tr>
      <w:tr>
        <w:tc>
          <w:tcPr/>
          <w:p>
            <w:pPr>
              <w:pStyle w:val="Compact"/>
            </w:pPr>
            <w:r>
              <w:rPr>
                <w:b/>
                <w:bCs/>
              </w:rPr>
              <w:t xml:space="preserve">ADU / house‑hacking</w:t>
            </w:r>
          </w:p>
        </w:tc>
        <w:tc>
          <w:tcPr/>
          <w:p>
            <w:pPr>
              <w:pStyle w:val="Compact"/>
            </w:pPr>
            <w:r>
              <w:rPr>
                <w:b/>
                <w:bCs/>
              </w:rPr>
              <w:t xml:space="preserve">Low</w:t>
            </w:r>
            <w:r>
              <w:t xml:space="preserve"> </w:t>
            </w:r>
            <w:r>
              <w:t xml:space="preserve">– this strategy primarily raises returns through adding an additional unit; exit cap compression is a bonus but not required.</w:t>
            </w:r>
          </w:p>
        </w:tc>
        <w:tc>
          <w:tcPr/>
          <w:p>
            <w:pPr>
              <w:pStyle w:val="Compact"/>
            </w:pPr>
            <w:r>
              <w:rPr>
                <w:b/>
                <w:bCs/>
              </w:rPr>
              <w:t xml:space="preserve">High</w:t>
            </w:r>
            <w:r>
              <w:t xml:space="preserve"> </w:t>
            </w:r>
            <w:r>
              <w:t xml:space="preserve">– constructing an ADU materially increases NOI by renting a separate dwelling.</w:t>
            </w:r>
          </w:p>
        </w:tc>
        <w:tc>
          <w:tcPr/>
          <w:p>
            <w:pPr>
              <w:pStyle w:val="Compact"/>
            </w:pPr>
            <w:r>
              <w:rPr>
                <w:b/>
                <w:bCs/>
              </w:rPr>
              <w:t xml:space="preserve">Medium</w:t>
            </w:r>
            <w:r>
              <w:t xml:space="preserve"> </w:t>
            </w:r>
            <w:r>
              <w:t xml:space="preserve">– after completion, the property produces dual rents and improved cash flow.</w:t>
            </w:r>
          </w:p>
        </w:tc>
        <w:tc>
          <w:tcPr/>
          <w:p>
            <w:pPr>
              <w:pStyle w:val="Compact"/>
            </w:pPr>
            <w:r>
              <w:t xml:space="preserve">Attractive for owner‑occupants in any interest‑rate environment; forced appreciation via the ADU can offset cap‑rate expansion.</w:t>
            </w:r>
          </w:p>
        </w:tc>
      </w:tr>
    </w:tbl>
    <w:bookmarkEnd w:id="44"/>
    <w:bookmarkStart w:id="48" w:name="X1e9f0ea434a4ad2ed304fa61edf8e67e301a816"/>
    <w:p>
      <w:pPr>
        <w:pStyle w:val="Heading2"/>
      </w:pPr>
      <w:r>
        <w:t xml:space="preserve">Which strategies make sense today vs. under different macro conditions?</w:t>
      </w:r>
    </w:p>
    <w:bookmarkStart w:id="46" w:name="todays-environment-early-2026"/>
    <w:p>
      <w:pPr>
        <w:pStyle w:val="Heading3"/>
      </w:pPr>
      <w:r>
        <w:t xml:space="preserve">Today’s environment (early 2026)</w:t>
      </w:r>
    </w:p>
    <w:p>
      <w:pPr>
        <w:pStyle w:val="Compact"/>
        <w:numPr>
          <w:ilvl w:val="0"/>
          <w:numId w:val="1005"/>
        </w:numPr>
      </w:pPr>
      <w:r>
        <w:rPr>
          <w:b/>
          <w:bCs/>
        </w:rPr>
        <w:t xml:space="preserve">Interest rates</w:t>
      </w:r>
      <w:r>
        <w:t xml:space="preserve"> </w:t>
      </w:r>
      <w:r>
        <w:t xml:space="preserve">are still elevated at around 6 %, though there is</w:t>
      </w:r>
      <w:r>
        <w:t xml:space="preserve"> </w:t>
      </w:r>
      <w:r>
        <w:t xml:space="preserve">possibility of cuts later in the year</w:t>
      </w:r>
      <w:hyperlink r:id="rId45">
        <w:r>
          <w:rPr>
            <w:rStyle w:val="Hyperlink"/>
          </w:rPr>
          <w:t xml:space="preserve">[16]</w:t>
        </w:r>
      </w:hyperlink>
      <w:r>
        <w:t xml:space="preserve">. Debt liquidity is</w:t>
      </w:r>
      <w:r>
        <w:t xml:space="preserve"> </w:t>
      </w:r>
      <w:r>
        <w:t xml:space="preserve">improving due to larger lending caps and higher LTV ratios</w:t>
      </w:r>
      <w:hyperlink r:id="rId37">
        <w:r>
          <w:rPr>
            <w:rStyle w:val="Hyperlink"/>
          </w:rPr>
          <w:t xml:space="preserve">[13]</w:t>
        </w:r>
      </w:hyperlink>
      <w:r>
        <w:t xml:space="preserve">.</w:t>
      </w:r>
    </w:p>
    <w:p>
      <w:pPr>
        <w:pStyle w:val="Compact"/>
        <w:numPr>
          <w:ilvl w:val="0"/>
          <w:numId w:val="1005"/>
        </w:numPr>
      </w:pPr>
      <w:r>
        <w:rPr>
          <w:b/>
          <w:bCs/>
        </w:rPr>
        <w:t xml:space="preserve">Rents remain strong</w:t>
      </w:r>
      <w:r>
        <w:t xml:space="preserve">—median rents have climbed sharply since 2019</w:t>
      </w:r>
      <w:hyperlink r:id="rId29">
        <w:r>
          <w:rPr>
            <w:rStyle w:val="Hyperlink"/>
          </w:rPr>
          <w:t xml:space="preserve">[7]</w:t>
        </w:r>
      </w:hyperlink>
      <w:r>
        <w:t xml:space="preserve">,</w:t>
      </w:r>
      <w:r>
        <w:t xml:space="preserve"> </w:t>
      </w:r>
      <w:r>
        <w:t xml:space="preserve">supporting NOI growth. However, policy risk from the proposed</w:t>
      </w:r>
      <w:r>
        <w:t xml:space="preserve"> </w:t>
      </w:r>
      <w:r>
        <w:t xml:space="preserve">rent‑control initiative could cap future rent increases</w:t>
      </w:r>
      <w:hyperlink r:id="rId32">
        <w:r>
          <w:rPr>
            <w:rStyle w:val="Hyperlink"/>
          </w:rPr>
          <w:t xml:space="preserve">[10]</w:t>
        </w:r>
      </w:hyperlink>
      <w:r>
        <w:t xml:space="preserve">.</w:t>
      </w:r>
    </w:p>
    <w:p>
      <w:pPr>
        <w:pStyle w:val="Compact"/>
        <w:numPr>
          <w:ilvl w:val="0"/>
          <w:numId w:val="1005"/>
        </w:numPr>
      </w:pPr>
      <w:r>
        <w:rPr>
          <w:b/>
          <w:bCs/>
        </w:rPr>
        <w:t xml:space="preserve">Construction costs</w:t>
      </w:r>
      <w:r>
        <w:t xml:space="preserve"> </w:t>
      </w:r>
      <w:r>
        <w:t xml:space="preserve">are high, and permitting is time‑consuming; new</w:t>
      </w:r>
      <w:r>
        <w:t xml:space="preserve"> </w:t>
      </w:r>
      <w:r>
        <w:t xml:space="preserve">projects face significant barriers, but TIF incentives exist for major</w:t>
      </w:r>
      <w:r>
        <w:t xml:space="preserve"> </w:t>
      </w:r>
      <w:r>
        <w:t xml:space="preserve">developments</w:t>
      </w:r>
      <w:hyperlink r:id="rId27">
        <w:r>
          <w:rPr>
            <w:rStyle w:val="Hyperlink"/>
          </w:rPr>
          <w:t xml:space="preserve">[6]</w:t>
        </w:r>
      </w:hyperlink>
      <w:r>
        <w:t xml:space="preserve">.</w:t>
      </w:r>
    </w:p>
    <w:p>
      <w:pPr>
        <w:pStyle w:val="FirstParagraph"/>
      </w:pPr>
      <w:r>
        <w:t xml:space="preserve">Given these conditions:</w:t>
      </w:r>
    </w:p>
    <w:p>
      <w:pPr>
        <w:pStyle w:val="Compact"/>
        <w:numPr>
          <w:ilvl w:val="0"/>
          <w:numId w:val="1006"/>
        </w:numPr>
      </w:pPr>
      <w:r>
        <w:rPr>
          <w:b/>
          <w:bCs/>
        </w:rPr>
        <w:t xml:space="preserve">Value‑add / renovation and small multi‑family</w:t>
      </w:r>
      <w:r>
        <w:t xml:space="preserve"> </w:t>
      </w:r>
      <w:r>
        <w:t xml:space="preserve">strategies offer the best</w:t>
      </w:r>
      <w:r>
        <w:t xml:space="preserve"> </w:t>
      </w:r>
      <w:r>
        <w:t xml:space="preserve">risk‑adjusted returns. They generate cash flow above interest costs and</w:t>
      </w:r>
      <w:r>
        <w:t xml:space="preserve"> </w:t>
      </w:r>
      <w:r>
        <w:t xml:space="preserve">create value regardless of cap‑rate movement. Upgraded units can tap into</w:t>
      </w:r>
      <w:r>
        <w:t xml:space="preserve"> </w:t>
      </w:r>
      <w:r>
        <w:t xml:space="preserve">the aggressive rent tier (e.g., 2‑bed apartments at \$2.4–3.3 k per month)</w:t>
      </w:r>
      <w:r>
        <w:t xml:space="preserve"> </w:t>
      </w:r>
      <w:r>
        <w:t xml:space="preserve">while still undercutting luxury new builds.</w:t>
      </w:r>
    </w:p>
    <w:p>
      <w:pPr>
        <w:pStyle w:val="Compact"/>
        <w:numPr>
          <w:ilvl w:val="0"/>
          <w:numId w:val="1006"/>
        </w:numPr>
      </w:pPr>
      <w:r>
        <w:rPr>
          <w:b/>
          <w:bCs/>
        </w:rPr>
        <w:t xml:space="preserve">ADU / house‑hacking</w:t>
      </w:r>
      <w:r>
        <w:t xml:space="preserve"> </w:t>
      </w:r>
      <w:r>
        <w:t xml:space="preserve">remains attractive. The 2025 ADU law allows</w:t>
      </w:r>
      <w:r>
        <w:t xml:space="preserve"> </w:t>
      </w:r>
      <w:r>
        <w:t xml:space="preserve">accessory units by right</w:t>
      </w:r>
      <w:hyperlink r:id="rId31">
        <w:r>
          <w:rPr>
            <w:rStyle w:val="Hyperlink"/>
          </w:rPr>
          <w:t xml:space="preserve">[9]</w:t>
        </w:r>
      </w:hyperlink>
      <w:r>
        <w:t xml:space="preserve">, enabling homeowners</w:t>
      </w:r>
      <w:r>
        <w:t xml:space="preserve"> </w:t>
      </w:r>
      <w:r>
        <w:t xml:space="preserve">to create new income streams at relatively low cost. Even if rates stay</w:t>
      </w:r>
      <w:r>
        <w:t xml:space="preserve"> </w:t>
      </w:r>
      <w:r>
        <w:t xml:space="preserve">elevated, the addition of an ADU often boosts the property’s cap rate from</w:t>
      </w:r>
      <w:r>
        <w:t xml:space="preserve"> </w:t>
      </w:r>
      <w:r>
        <w:t xml:space="preserve">4–5 % to 6–8 %, comfortably above borrowing costs.</w:t>
      </w:r>
    </w:p>
    <w:p>
      <w:pPr>
        <w:pStyle w:val="Compact"/>
        <w:numPr>
          <w:ilvl w:val="0"/>
          <w:numId w:val="1006"/>
        </w:numPr>
      </w:pPr>
      <w:r>
        <w:rPr>
          <w:b/>
          <w:bCs/>
        </w:rPr>
        <w:t xml:space="preserve">Core buy‑and‑hold</w:t>
      </w:r>
      <w:r>
        <w:t xml:space="preserve"> </w:t>
      </w:r>
      <w:r>
        <w:t xml:space="preserve">should be approached cautiously. Low entry cap rates</w:t>
      </w:r>
      <w:r>
        <w:t xml:space="preserve"> </w:t>
      </w:r>
      <w:r>
        <w:t xml:space="preserve">mean little or no positive leverage. It may still appeal to investors who</w:t>
      </w:r>
      <w:r>
        <w:t xml:space="preserve"> </w:t>
      </w:r>
      <w:r>
        <w:t xml:space="preserve">are highly confident in long‑term appreciation and willing to accept</w:t>
      </w:r>
      <w:r>
        <w:t xml:space="preserve"> </w:t>
      </w:r>
      <w:r>
        <w:t xml:space="preserve">limited cash flow. Under current rates, however, the strategy is</w:t>
      </w:r>
      <w:r>
        <w:t xml:space="preserve"> </w:t>
      </w:r>
      <w:r>
        <w:t xml:space="preserve">vulnerable unless one anticipates substantial cap‑rate compression.</w:t>
      </w:r>
    </w:p>
    <w:p>
      <w:pPr>
        <w:pStyle w:val="Compact"/>
        <w:numPr>
          <w:ilvl w:val="0"/>
          <w:numId w:val="1006"/>
        </w:numPr>
      </w:pPr>
      <w:r>
        <w:rPr>
          <w:b/>
          <w:bCs/>
        </w:rPr>
        <w:t xml:space="preserve">Development or redevelopment</w:t>
      </w:r>
      <w:r>
        <w:t xml:space="preserve"> </w:t>
      </w:r>
      <w:r>
        <w:t xml:space="preserve">is high risk in the current</w:t>
      </w:r>
      <w:r>
        <w:t xml:space="preserve"> </w:t>
      </w:r>
      <w:r>
        <w:t xml:space="preserve">environment. Borrowing costs and construction expenses remain elevated,</w:t>
      </w:r>
      <w:r>
        <w:t xml:space="preserve"> </w:t>
      </w:r>
      <w:r>
        <w:t xml:space="preserve">making it difficult to hit target returns unless exit cap rates compress</w:t>
      </w:r>
      <w:r>
        <w:t xml:space="preserve"> </w:t>
      </w:r>
      <w:r>
        <w:t xml:space="preserve">materially. Only projects with compelling incentives (e.g., TIF) or</w:t>
      </w:r>
      <w:r>
        <w:t xml:space="preserve"> </w:t>
      </w:r>
      <w:r>
        <w:t xml:space="preserve">extraordinary location advantages should proceed. Developers may prefer to</w:t>
      </w:r>
      <w:r>
        <w:t xml:space="preserve"> </w:t>
      </w:r>
      <w:r>
        <w:t xml:space="preserve">land‑bank sites until rates decline or cost pressures subside.</w:t>
      </w:r>
    </w:p>
    <w:bookmarkEnd w:id="46"/>
    <w:bookmarkStart w:id="47" w:name="different-macro-conditions"/>
    <w:p>
      <w:pPr>
        <w:pStyle w:val="Heading3"/>
      </w:pPr>
      <w:r>
        <w:t xml:space="preserve">Different macro conditions</w:t>
      </w:r>
    </w:p>
    <w:p>
      <w:pPr>
        <w:pStyle w:val="Compact"/>
        <w:numPr>
          <w:ilvl w:val="0"/>
          <w:numId w:val="1007"/>
        </w:numPr>
      </w:pPr>
      <w:r>
        <w:rPr>
          <w:b/>
          <w:bCs/>
        </w:rPr>
        <w:t xml:space="preserve">Falling interest rates</w:t>
      </w:r>
      <w:r>
        <w:t xml:space="preserve"> </w:t>
      </w:r>
      <w:r>
        <w:t xml:space="preserve">– Should the Fed cut rates and the 10‑year</w:t>
      </w:r>
      <w:r>
        <w:t xml:space="preserve"> </w:t>
      </w:r>
      <w:r>
        <w:t xml:space="preserve">Treasury drop into the 3–3.5 % range, entry cap rates will look more</w:t>
      </w:r>
      <w:r>
        <w:t xml:space="preserve"> </w:t>
      </w:r>
      <w:r>
        <w:t xml:space="preserve">attractive relative to debt, enabling positive leverage.</w:t>
      </w:r>
      <w:r>
        <w:t xml:space="preserve"> </w:t>
      </w:r>
      <w:r>
        <w:rPr>
          <w:b/>
          <w:bCs/>
        </w:rPr>
        <w:t xml:space="preserve">Core</w:t>
      </w:r>
      <w:r>
        <w:rPr>
          <w:b/>
          <w:bCs/>
        </w:rPr>
        <w:t xml:space="preserve"> </w:t>
      </w:r>
      <w:r>
        <w:rPr>
          <w:b/>
          <w:bCs/>
        </w:rPr>
        <w:t xml:space="preserve">buy‑and‑hold</w:t>
      </w:r>
      <w:r>
        <w:t xml:space="preserve"> </w:t>
      </w:r>
      <w:r>
        <w:t xml:space="preserve">becomes more compelling as investors can achieve cash-on-cash</w:t>
      </w:r>
      <w:r>
        <w:t xml:space="preserve"> </w:t>
      </w:r>
      <w:r>
        <w:t xml:space="preserve">yields.</w:t>
      </w:r>
      <w:r>
        <w:t xml:space="preserve"> </w:t>
      </w:r>
      <w:r>
        <w:rPr>
          <w:b/>
          <w:bCs/>
        </w:rPr>
        <w:t xml:space="preserve">Development</w:t>
      </w:r>
      <w:r>
        <w:t xml:space="preserve"> </w:t>
      </w:r>
      <w:r>
        <w:t xml:space="preserve">becomes viable because construction financing</w:t>
      </w:r>
      <w:r>
        <w:t xml:space="preserve"> </w:t>
      </w:r>
      <w:r>
        <w:t xml:space="preserve">cheapens and exit cap rates are likely to compress, boosting resale</w:t>
      </w:r>
      <w:r>
        <w:t xml:space="preserve"> </w:t>
      </w:r>
      <w:r>
        <w:t xml:space="preserve">values.</w:t>
      </w:r>
      <w:r>
        <w:t xml:space="preserve"> </w:t>
      </w:r>
      <w:r>
        <w:rPr>
          <w:b/>
          <w:bCs/>
        </w:rPr>
        <w:t xml:space="preserve">All strategies</w:t>
      </w:r>
      <w:r>
        <w:t xml:space="preserve"> </w:t>
      </w:r>
      <w:r>
        <w:t xml:space="preserve">benefit, but particularly those that are</w:t>
      </w:r>
      <w:r>
        <w:t xml:space="preserve"> </w:t>
      </w:r>
      <w:r>
        <w:t xml:space="preserve">sensitive to cap‑rate compression.</w:t>
      </w:r>
    </w:p>
    <w:p>
      <w:pPr>
        <w:pStyle w:val="Compact"/>
        <w:numPr>
          <w:ilvl w:val="0"/>
          <w:numId w:val="1007"/>
        </w:numPr>
      </w:pPr>
      <w:r>
        <w:rPr>
          <w:b/>
          <w:bCs/>
        </w:rPr>
        <w:t xml:space="preserve">Rising interest rates or tightened credit</w:t>
      </w:r>
      <w:r>
        <w:t xml:space="preserve"> </w:t>
      </w:r>
      <w:r>
        <w:t xml:space="preserve">– If inflation surprises to</w:t>
      </w:r>
      <w:r>
        <w:t xml:space="preserve"> </w:t>
      </w:r>
      <w:r>
        <w:t xml:space="preserve">the upside or policy shifts drive rates above current levels, cap rates</w:t>
      </w:r>
      <w:r>
        <w:t xml:space="preserve"> </w:t>
      </w:r>
      <w:r>
        <w:t xml:space="preserve">will likely expand, reducing property values.</w:t>
      </w:r>
      <w:r>
        <w:t xml:space="preserve"> </w:t>
      </w:r>
      <w:r>
        <w:rPr>
          <w:b/>
          <w:bCs/>
        </w:rPr>
        <w:t xml:space="preserve">Value‑add</w:t>
      </w:r>
      <w:r>
        <w:t xml:space="preserve"> </w:t>
      </w:r>
      <w:r>
        <w:t xml:space="preserve">and</w:t>
      </w:r>
      <w:r>
        <w:t xml:space="preserve"> </w:t>
      </w:r>
      <w:r>
        <w:rPr>
          <w:b/>
          <w:bCs/>
        </w:rPr>
        <w:t xml:space="preserve">ADU</w:t>
      </w:r>
      <w:r>
        <w:rPr>
          <w:b/>
          <w:bCs/>
        </w:rPr>
        <w:t xml:space="preserve"> </w:t>
      </w:r>
      <w:r>
        <w:rPr>
          <w:b/>
          <w:bCs/>
        </w:rPr>
        <w:t xml:space="preserve">strategies</w:t>
      </w:r>
      <w:r>
        <w:t xml:space="preserve"> </w:t>
      </w:r>
      <w:r>
        <w:t xml:space="preserve">still work because they depend on forced appreciation, but</w:t>
      </w:r>
      <w:r>
        <w:t xml:space="preserve"> </w:t>
      </w:r>
      <w:r>
        <w:rPr>
          <w:b/>
          <w:bCs/>
        </w:rPr>
        <w:t xml:space="preserve">core buy‑and‑hold</w:t>
      </w:r>
      <w:r>
        <w:t xml:space="preserve"> </w:t>
      </w:r>
      <w:r>
        <w:t xml:space="preserve">may generate negative leverage, and</w:t>
      </w:r>
      <w:r>
        <w:t xml:space="preserve"> </w:t>
      </w:r>
      <w:r>
        <w:rPr>
          <w:b/>
          <w:bCs/>
        </w:rPr>
        <w:t xml:space="preserve">development</w:t>
      </w:r>
      <w:r>
        <w:t xml:space="preserve"> </w:t>
      </w:r>
      <w:r>
        <w:t xml:space="preserve">could</w:t>
      </w:r>
      <w:r>
        <w:t xml:space="preserve"> </w:t>
      </w:r>
      <w:r>
        <w:t xml:space="preserve">stall. Investors should focus on strong cash flow and conservative exit</w:t>
      </w:r>
      <w:r>
        <w:t xml:space="preserve"> </w:t>
      </w:r>
      <w:r>
        <w:t xml:space="preserve">assumptions.</w:t>
      </w:r>
    </w:p>
    <w:p>
      <w:pPr>
        <w:pStyle w:val="Compact"/>
        <w:numPr>
          <w:ilvl w:val="0"/>
          <w:numId w:val="1007"/>
        </w:numPr>
      </w:pPr>
      <w:r>
        <w:rPr>
          <w:b/>
          <w:bCs/>
        </w:rPr>
        <w:t xml:space="preserve">Rent control or severe regulatory changes</w:t>
      </w:r>
      <w:r>
        <w:t xml:space="preserve"> </w:t>
      </w:r>
      <w:r>
        <w:t xml:space="preserve">– Passage of the proposed</w:t>
      </w:r>
      <w:r>
        <w:t xml:space="preserve"> </w:t>
      </w:r>
      <w:r>
        <w:t xml:space="preserve">rent‑stabilization law limiting annual rent increases to 5 % or the CPI</w:t>
      </w:r>
      <w:r>
        <w:t xml:space="preserve"> </w:t>
      </w:r>
      <w:hyperlink r:id="rId32">
        <w:r>
          <w:rPr>
            <w:rStyle w:val="Hyperlink"/>
          </w:rPr>
          <w:t xml:space="preserve">[10]</w:t>
        </w:r>
      </w:hyperlink>
      <w:r>
        <w:t xml:space="preserve"> </w:t>
      </w:r>
      <w:r>
        <w:t xml:space="preserve">would reduce rental growth, compressing</w:t>
      </w:r>
      <w:r>
        <w:t xml:space="preserve"> </w:t>
      </w:r>
      <w:r>
        <w:t xml:space="preserve">valuations.</w:t>
      </w:r>
      <w:r>
        <w:t xml:space="preserve"> </w:t>
      </w:r>
      <w:r>
        <w:rPr>
          <w:b/>
          <w:bCs/>
        </w:rPr>
        <w:t xml:space="preserve">Value‑add</w:t>
      </w:r>
      <w:r>
        <w:t xml:space="preserve"> </w:t>
      </w:r>
      <w:r>
        <w:t xml:space="preserve">returns would be limited after renovations,</w:t>
      </w:r>
      <w:r>
        <w:t xml:space="preserve"> </w:t>
      </w:r>
      <w:r>
        <w:t xml:space="preserve">emphasising the importance of acquiring units with rents far below</w:t>
      </w:r>
      <w:r>
        <w:t xml:space="preserve"> </w:t>
      </w:r>
      <w:r>
        <w:t xml:space="preserve">market.</w:t>
      </w:r>
      <w:r>
        <w:t xml:space="preserve"> </w:t>
      </w:r>
      <w:r>
        <w:rPr>
          <w:b/>
          <w:bCs/>
        </w:rPr>
        <w:t xml:space="preserve">Core and ADU strategies</w:t>
      </w:r>
      <w:r>
        <w:t xml:space="preserve"> </w:t>
      </w:r>
      <w:r>
        <w:t xml:space="preserve">would still rely on long‑term</w:t>
      </w:r>
      <w:r>
        <w:t xml:space="preserve"> </w:t>
      </w:r>
      <w:r>
        <w:t xml:space="preserve">appreciation rather than rent growth.</w:t>
      </w:r>
      <w:r>
        <w:t xml:space="preserve"> </w:t>
      </w:r>
      <w:r>
        <w:rPr>
          <w:b/>
          <w:bCs/>
        </w:rPr>
        <w:t xml:space="preserve">Development</w:t>
      </w:r>
      <w:r>
        <w:t xml:space="preserve"> </w:t>
      </w:r>
      <w:r>
        <w:t xml:space="preserve">may shift toward</w:t>
      </w:r>
      <w:r>
        <w:t xml:space="preserve"> </w:t>
      </w:r>
      <w:r>
        <w:t xml:space="preserve">condominiums or for‑sale units rather than rentals.</w:t>
      </w:r>
    </w:p>
    <w:bookmarkEnd w:id="47"/>
    <w:bookmarkEnd w:id="48"/>
    <w:bookmarkStart w:id="49" w:name="conclusion"/>
    <w:p>
      <w:pPr>
        <w:pStyle w:val="Heading2"/>
      </w:pPr>
      <w:r>
        <w:t xml:space="preserve">Conclusion</w:t>
      </w:r>
    </w:p>
    <w:p>
      <w:pPr>
        <w:pStyle w:val="FirstParagraph"/>
      </w:pPr>
      <w:r>
        <w:t xml:space="preserve">Marlborough’s cap‑rate environment sits between the compressed yields of</w:t>
      </w:r>
      <w:r>
        <w:t xml:space="preserve"> </w:t>
      </w:r>
      <w:r>
        <w:t xml:space="preserve">central Boston and the higher returns of more distant suburbs. Elevated</w:t>
      </w:r>
      <w:r>
        <w:t xml:space="preserve"> </w:t>
      </w:r>
      <w:r>
        <w:t xml:space="preserve">interest rates in early 2026 suppress positive leverage, making strategies</w:t>
      </w:r>
      <w:r>
        <w:t xml:space="preserve"> </w:t>
      </w:r>
      <w:r>
        <w:t xml:space="preserve">that rely on</w:t>
      </w:r>
      <w:r>
        <w:t xml:space="preserve"> </w:t>
      </w:r>
      <w:r>
        <w:rPr>
          <w:b/>
          <w:bCs/>
        </w:rPr>
        <w:t xml:space="preserve">forced appreciation</w:t>
      </w:r>
      <w:r>
        <w:t xml:space="preserve">—such as value‑add renovations and</w:t>
      </w:r>
      <w:r>
        <w:t xml:space="preserve"> </w:t>
      </w:r>
      <w:r>
        <w:t xml:space="preserve">adding ADUs—especially compelling. Smaller multi‑family properties offer</w:t>
      </w:r>
      <w:r>
        <w:t xml:space="preserve"> </w:t>
      </w:r>
      <w:r>
        <w:t xml:space="preserve">solid income yields and diversification, while development remains a</w:t>
      </w:r>
      <w:r>
        <w:t xml:space="preserve"> </w:t>
      </w:r>
      <w:r>
        <w:t xml:space="preserve">high‑risk endeavour unless rate cuts or significant incentives materialise.</w:t>
      </w:r>
      <w:r>
        <w:t xml:space="preserve"> </w:t>
      </w:r>
      <w:r>
        <w:t xml:space="preserve">Investors who expect rate declines and continued population and job growth</w:t>
      </w:r>
      <w:r>
        <w:t xml:space="preserve"> </w:t>
      </w:r>
      <w:r>
        <w:t xml:space="preserve">may find core buy‑and‑hold appealing, but those anticipating prolonged high</w:t>
      </w:r>
      <w:r>
        <w:t xml:space="preserve"> </w:t>
      </w:r>
      <w:r>
        <w:t xml:space="preserve">rates or regulatory headwinds should prioritise strategies with strong</w:t>
      </w:r>
      <w:r>
        <w:t xml:space="preserve"> </w:t>
      </w:r>
      <w:r>
        <w:t xml:space="preserve">operating income and avoid overreliance on cap‑rate compression.</w:t>
      </w:r>
    </w:p>
    <w:bookmarkEnd w:id="49"/>
    <w:bookmarkEnd w:id="50"/>
    <w:bookmarkEnd w:id="51"/>
    <w:p>
      <w:r>
        <w:pict>
          <v:rect style="width:0;height:1.5pt" o:hralign="center" o:hrstd="t" o:hr="t"/>
        </w:pict>
      </w:r>
    </w:p>
    <w:bookmarkStart w:id="61" w:name="citations"/>
    <w:p>
      <w:pPr>
        <w:pStyle w:val="FirstParagraph"/>
      </w:pPr>
      <w:hyperlink r:id="rId21">
        <w:r>
          <w:rPr>
            <w:rStyle w:val="Hyperlink"/>
          </w:rPr>
          <w:t xml:space="preserve">[1]</w:t>
        </w:r>
      </w:hyperlink>
      <w:r>
        <w:t xml:space="preserve"> </w:t>
      </w:r>
      <w:r>
        <w:t xml:space="preserve">Boston, MA Multifamily Market Report November 2025 - Matthews</w:t>
      </w:r>
    </w:p>
    <w:p>
      <w:pPr>
        <w:pStyle w:val="BodyText"/>
      </w:pPr>
      <w:hyperlink r:id="rId52">
        <w:r>
          <w:rPr>
            <w:rStyle w:val="Hyperlink"/>
          </w:rPr>
          <w:t xml:space="preserve">https://www.matthews.com/market_insights/boston-ma-multifamily-market-report-november-2025</w:t>
        </w:r>
      </w:hyperlink>
    </w:p>
    <w:p>
      <w:pPr>
        <w:pStyle w:val="BodyText"/>
      </w:pPr>
      <w:hyperlink r:id="rId22">
        <w:r>
          <w:rPr>
            <w:rStyle w:val="Hyperlink"/>
          </w:rPr>
          <w:t xml:space="preserve">[2]</w:t>
        </w:r>
      </w:hyperlink>
      <w:r>
        <w:t xml:space="preserve"> </w:t>
      </w:r>
      <w:hyperlink r:id="rId22">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r>
        <w:t xml:space="preserve">Boston Multi-Family Cap Rates 2025: Complete Investor Guide | Signal Real Estate</w:t>
      </w:r>
    </w:p>
    <w:p>
      <w:pPr>
        <w:pStyle w:val="BodyText"/>
      </w:pPr>
      <w:hyperlink r:id="rId53">
        <w:r>
          <w:rPr>
            <w:rStyle w:val="Hyperlink"/>
          </w:rPr>
          <w:t xml:space="preserve">https://www.signalrealestate.com/blog/boston-multi-family-cap-rates-2025-complete-investor-guide/</w:t>
        </w:r>
      </w:hyperlink>
    </w:p>
    <w:p>
      <w:pPr>
        <w:pStyle w:val="BodyText"/>
      </w:pPr>
      <w:hyperlink r:id="rId27">
        <w:r>
          <w:rPr>
            <w:rStyle w:val="Hyperlink"/>
          </w:rPr>
          <w:t xml:space="preserve">[6]</w:t>
        </w:r>
      </w:hyperlink>
      <w:r>
        <w:t xml:space="preserve"> </w:t>
      </w:r>
      <w:r>
        <w:t xml:space="preserve">Life Sciences Hub - Marlborough Economic Development Corporation</w:t>
      </w:r>
    </w:p>
    <w:p>
      <w:pPr>
        <w:pStyle w:val="BodyText"/>
      </w:pPr>
      <w:hyperlink r:id="rId54">
        <w:r>
          <w:rPr>
            <w:rStyle w:val="Hyperlink"/>
          </w:rPr>
          <w:t xml:space="preserve">https://marlboroughedc.com/life-sciences-hub/</w:t>
        </w:r>
      </w:hyperlink>
    </w:p>
    <w:p>
      <w:pPr>
        <w:pStyle w:val="BodyText"/>
      </w:pPr>
      <w:hyperlink r:id="rId29">
        <w:r>
          <w:rPr>
            <w:rStyle w:val="Hyperlink"/>
          </w:rPr>
          <w:t xml:space="preserve">[7]</w:t>
        </w:r>
      </w:hyperlink>
      <w:r>
        <w:t xml:space="preserve"> </w:t>
      </w:r>
      <w:r>
        <w:t xml:space="preserve">Average Rental Price in Marlborough, MA | $2,400</w:t>
      </w:r>
    </w:p>
    <w:p>
      <w:pPr>
        <w:pStyle w:val="BodyText"/>
      </w:pPr>
      <w:hyperlink r:id="rId55">
        <w:r>
          <w:rPr>
            <w:rStyle w:val="Hyperlink"/>
          </w:rPr>
          <w:t xml:space="preserve">https://www.zillow.com/rental-manager/market-trends/marlborough-ma/</w:t>
        </w:r>
      </w:hyperlink>
    </w:p>
    <w:p>
      <w:pPr>
        <w:pStyle w:val="BodyText"/>
      </w:pPr>
      <w:hyperlink r:id="rId30">
        <w:r>
          <w:rPr>
            <w:rStyle w:val="Hyperlink"/>
          </w:rPr>
          <w:t xml:space="preserve">[8]</w:t>
        </w:r>
      </w:hyperlink>
      <w:r>
        <w:t xml:space="preserve"> </w:t>
      </w:r>
      <w:r>
        <w:t xml:space="preserve">Present &amp; Past Tax Rates | Marlborough, MA</w:t>
      </w:r>
      <w:r>
        <w:t xml:space="preserve"> </w:t>
      </w:r>
    </w:p>
    <w:p>
      <w:pPr>
        <w:pStyle w:val="BodyText"/>
      </w:pPr>
      <w:hyperlink r:id="rId56">
        <w:r>
          <w:rPr>
            <w:rStyle w:val="Hyperlink"/>
          </w:rPr>
          <w:t xml:space="preserve">https://www.marlborough-ma.gov/369/Present-Past-Tax-Rates</w:t>
        </w:r>
      </w:hyperlink>
    </w:p>
    <w:p>
      <w:pPr>
        <w:pStyle w:val="BodyText"/>
      </w:pPr>
      <w:hyperlink r:id="rId31">
        <w:r>
          <w:rPr>
            <w:rStyle w:val="Hyperlink"/>
          </w:rPr>
          <w:t xml:space="preserve">[9]</w:t>
        </w:r>
      </w:hyperlink>
      <w:r>
        <w:t xml:space="preserve"> </w:t>
      </w:r>
      <w:r>
        <w:t xml:space="preserve">Accessory Dwelling Units | Mass.gov</w:t>
      </w:r>
    </w:p>
    <w:p>
      <w:pPr>
        <w:pStyle w:val="BodyText"/>
      </w:pPr>
      <w:hyperlink r:id="rId57">
        <w:r>
          <w:rPr>
            <w:rStyle w:val="Hyperlink"/>
          </w:rPr>
          <w:t xml:space="preserve">https://www.mass.gov/info-details/accessory-dwelling-units</w:t>
        </w:r>
      </w:hyperlink>
    </w:p>
    <w:p>
      <w:pPr>
        <w:pStyle w:val="BodyText"/>
      </w:pPr>
      <w:hyperlink r:id="rId32">
        <w:r>
          <w:rPr>
            <w:rStyle w:val="Hyperlink"/>
          </w:rPr>
          <w:t xml:space="preserve">[10]</w:t>
        </w:r>
      </w:hyperlink>
      <w:r>
        <w:t xml:space="preserve"> </w:t>
      </w:r>
      <w:r>
        <w:t xml:space="preserve">download</w:t>
      </w:r>
    </w:p>
    <w:p>
      <w:pPr>
        <w:pStyle w:val="BodyText"/>
      </w:pPr>
      <w:hyperlink r:id="rId58">
        <w:r>
          <w:rPr>
            <w:rStyle w:val="Hyperlink"/>
          </w:rPr>
          <w:t xml:space="preserve">https://www.mass.gov/doc/final-summary-for-25-21-an-initiative-petition-to-protect-tenants-by-limiting-rent-increases/download</w:t>
        </w:r>
      </w:hyperlink>
    </w:p>
    <w:p>
      <w:pPr>
        <w:pStyle w:val="BodyText"/>
      </w:pPr>
      <w:hyperlink r:id="rId35">
        <w:r>
          <w:rPr>
            <w:rStyle w:val="Hyperlink"/>
          </w:rPr>
          <w:t xml:space="preserve">[11]</w:t>
        </w:r>
      </w:hyperlink>
      <w:r>
        <w:t xml:space="preserve"> </w:t>
      </w:r>
      <w:hyperlink r:id="rId36">
        <w:r>
          <w:rPr>
            <w:rStyle w:val="Hyperlink"/>
          </w:rPr>
          <w:t xml:space="preserve">[12]</w:t>
        </w:r>
      </w:hyperlink>
      <w:r>
        <w:t xml:space="preserve"> </w:t>
      </w:r>
      <w:hyperlink r:id="rId37">
        <w:r>
          <w:rPr>
            <w:rStyle w:val="Hyperlink"/>
          </w:rPr>
          <w:t xml:space="preserve">[13]</w:t>
        </w:r>
      </w:hyperlink>
      <w:r>
        <w:t xml:space="preserve"> </w:t>
      </w:r>
      <w:hyperlink r:id="rId45">
        <w:r>
          <w:rPr>
            <w:rStyle w:val="Hyperlink"/>
          </w:rPr>
          <w:t xml:space="preserve">[16]</w:t>
        </w:r>
      </w:hyperlink>
      <w:r>
        <w:t xml:space="preserve"> </w:t>
      </w:r>
      <w:r>
        <w:t xml:space="preserve">2026 Interest Rates &amp; Debt Capital Outlook</w:t>
      </w:r>
    </w:p>
    <w:p>
      <w:pPr>
        <w:pStyle w:val="BodyText"/>
      </w:pPr>
      <w:hyperlink r:id="rId59">
        <w:r>
          <w:rPr>
            <w:rStyle w:val="Hyperlink"/>
          </w:rPr>
          <w:t xml:space="preserve">https://www.marcusmillichap.com/research/research-brief/2026/01/research-brief-january-2026-interest-rates-and-debt-capital-outlook</w:t>
        </w:r>
      </w:hyperlink>
    </w:p>
    <w:p>
      <w:pPr>
        <w:pStyle w:val="BodyText"/>
      </w:pPr>
      <w:hyperlink r:id="rId39">
        <w:r>
          <w:rPr>
            <w:rStyle w:val="Hyperlink"/>
          </w:rPr>
          <w:t xml:space="preserve">[14]</w:t>
        </w:r>
      </w:hyperlink>
      <w:r>
        <w:t xml:space="preserve"> </w:t>
      </w:r>
      <w:hyperlink r:id="rId40">
        <w:r>
          <w:rPr>
            <w:rStyle w:val="Hyperlink"/>
          </w:rPr>
          <w:t xml:space="preserve">[15]</w:t>
        </w:r>
      </w:hyperlink>
      <w:r>
        <w:t xml:space="preserve"> </w:t>
      </w:r>
      <w:r>
        <w:t xml:space="preserve">The Factors Influencing Cap Rates in 2026 - Matthews</w:t>
      </w:r>
    </w:p>
    <w:p>
      <w:pPr>
        <w:pStyle w:val="BodyText"/>
      </w:pPr>
      <w:hyperlink r:id="rId60">
        <w:r>
          <w:rPr>
            <w:rStyle w:val="Hyperlink"/>
          </w:rPr>
          <w:t xml:space="preserve">https://www.matthews.com/market_insights/cap-rate-real-estate</w:t>
        </w:r>
      </w:hyperlink>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 Target="https://marlboroughedc.com/life-sciences-hub/" TargetMode="External" /><Relationship Type="http://schemas.openxmlformats.org/officeDocument/2006/relationships/hyperlink" Id="rId27" Target="https://marlboroughedc.com/life-sciences-hub/#:~:text=Tax%20Increment%20Financing%20,Growth%20in%20Marlborough" TargetMode="External" /><Relationship Type="http://schemas.openxmlformats.org/officeDocument/2006/relationships/hyperlink" Id="rId59" Target="https://www.marcusmillichap.com/research/research-brief/2026/01/research-brief-january-2026-interest-rates-and-debt-capital-outlook" TargetMode="External" /><Relationship Type="http://schemas.openxmlformats.org/officeDocument/2006/relationships/hyperlink" Id="rId35" Target="https://www.marcusmillichap.com/research/research-brief/2026/01/research-brief-january-2026-interest-rates-and-debt-capital-outlook#:~:text=,headline%20CPI%20near%203%20percent" TargetMode="External" /><Relationship Type="http://schemas.openxmlformats.org/officeDocument/2006/relationships/hyperlink" Id="rId45" Target="https://www.marcusmillichap.com/research/research-brief/2026/01/research-brief-january-2026-interest-rates-and-debt-capital-outlook#:~:text=,market%20perceptions%20of%20risk%20could" TargetMode="External" /><Relationship Type="http://schemas.openxmlformats.org/officeDocument/2006/relationships/hyperlink" Id="rId36" Target="https://www.marcusmillichap.com/research/research-brief/2026/01/research-brief-january-2026-interest-rates-and-debt-capital-outlook#:~:text=Debt%20capital%20availability%20poised%20to,liquidity%20and%20improved%20deal%20flow" TargetMode="External" /><Relationship Type="http://schemas.openxmlformats.org/officeDocument/2006/relationships/hyperlink" Id="rId37" Target="https://www.marcusmillichap.com/research/research-brief/2026/01/research-brief-january-2026-interest-rates-and-debt-capital-outlook#:~:text=market%2C%20a%20trend%20that%20should,rates%20will%20remain%20stable%20or" TargetMode="External" /><Relationship Type="http://schemas.openxmlformats.org/officeDocument/2006/relationships/hyperlink" Id="rId56" Target="https://www.marlborough-ma.gov/369/Present-Past-Tax-Rates" TargetMode="External" /><Relationship Type="http://schemas.openxmlformats.org/officeDocument/2006/relationships/hyperlink" Id="rId30" Target="https://www.marlborough-ma.gov/369/Present-Past-Tax-Rates#:~:text=2026%2010,66%20N%2FA%20N%2FA" TargetMode="External" /><Relationship Type="http://schemas.openxmlformats.org/officeDocument/2006/relationships/hyperlink" Id="rId58" Target="https://www.mass.gov/doc/final-summary-for-25-21-an-initiative-petition-to-protect-tenants-by-limiting-rent-increases/download" TargetMode="External" /><Relationship Type="http://schemas.openxmlformats.org/officeDocument/2006/relationships/hyperlink" Id="rId32" Target="https://www.mass.gov/doc/final-summary-for-25-21-an-initiative-petition-to-protect-tenants-by-limiting-rent-increases/download#:~:text=This%20proposed%20law%20would%20limit,a%20violation%20of%20the%20state" TargetMode="External" /><Relationship Type="http://schemas.openxmlformats.org/officeDocument/2006/relationships/hyperlink" Id="rId57" Target="https://www.mass.gov/info-details/accessory-dwelling-units" TargetMode="External" /><Relationship Type="http://schemas.openxmlformats.org/officeDocument/2006/relationships/hyperlink" Id="rId31" Target="https://www.mass.gov/info-details/accessory-dwelling-units#:~:text=On%20Aug,will%20make%20a%20big%20difference" TargetMode="External" /><Relationship Type="http://schemas.openxmlformats.org/officeDocument/2006/relationships/hyperlink" Id="rId52" Target="https://www.matthews.com/market_insights/boston-ma-multifamily-market-report-november-2025" TargetMode="External" /><Relationship Type="http://schemas.openxmlformats.org/officeDocument/2006/relationships/hyperlink" Id="rId21" Target="https://www.matthews.com/market_insights/boston-ma-multifamily-market-report-november-2025#:~:text=Boston%E2%80%99s%20multifamily%20investment%20activity%20remains,nearly%20half%20of%20acquisitions%20and" TargetMode="External" /><Relationship Type="http://schemas.openxmlformats.org/officeDocument/2006/relationships/hyperlink" Id="rId60" Target="https://www.matthews.com/market_insights/cap-rate-real-estate" TargetMode="External" /><Relationship Type="http://schemas.openxmlformats.org/officeDocument/2006/relationships/hyperlink" Id="rId39" Target="https://www.matthews.com/market_insights/cap-rate-real-estate#:~:text=Debt%20markets%20in%202026%20remain,a%20higher%20cost%20of%20capital" TargetMode="External" /><Relationship Type="http://schemas.openxmlformats.org/officeDocument/2006/relationships/hyperlink" Id="rId40" Target="https://www.matthews.com/market_insights/cap-rate-real-estate#:~:text=Higher%20borrowing%20costs%20have%20reinforced,exposure%20or%20capital%20expenditure%20requirements" TargetMode="External" /><Relationship Type="http://schemas.openxmlformats.org/officeDocument/2006/relationships/hyperlink" Id="rId53" Target="https://www.signalrealestate.com/blog/boston-multi-family-cap-rates-2025-complete-investor-guide/" TargetMode="External" /><Relationship Type="http://schemas.openxmlformats.org/officeDocument/2006/relationships/hyperlink" Id="rId22" Target="https://www.signalrealestate.com/blog/boston-multi-family-cap-rates-2025-complete-investor-guide/#:~:text=,7.5" TargetMode="External" /><Relationship Type="http://schemas.openxmlformats.org/officeDocument/2006/relationships/hyperlink" Id="rId25" Target="https://www.signalrealestate.com/blog/boston-multi-family-cap-rates-2025-complete-investor-guide/#:~:text=1,cap%20rates%20relatively%20compressed%20compared" TargetMode="External" /><Relationship Type="http://schemas.openxmlformats.org/officeDocument/2006/relationships/hyperlink" Id="rId24" Target="https://www.signalrealestate.com/blog/boston-multi-family-cap-rates-2025-complete-investor-guide/#:~:text=Dorchester%20%26%20Roxbury" TargetMode="External" /><Relationship Type="http://schemas.openxmlformats.org/officeDocument/2006/relationships/hyperlink" Id="rId55" Target="https://www.zillow.com/rental-manager/market-trends/marlborough-ma/" TargetMode="External" /><Relationship Type="http://schemas.openxmlformats.org/officeDocument/2006/relationships/hyperlink" Id="rId29" Target="https://www.zillow.com/rental-manager/market-trends/marlborough-ma/#:~:text=2,studio%20apartment%20in%20Marlborough%2C%20MA" TargetMode="External" /></Relationships>
</file>

<file path=word/_rels/footnotes.xml.rels><?xml version="1.0" encoding="UTF-8"?><Relationships xmlns="http://schemas.openxmlformats.org/package/2006/relationships"><Relationship Type="http://schemas.openxmlformats.org/officeDocument/2006/relationships/hyperlink" Id="rId54" Target="https://marlboroughedc.com/life-sciences-hub/" TargetMode="External" /><Relationship Type="http://schemas.openxmlformats.org/officeDocument/2006/relationships/hyperlink" Id="rId27" Target="https://marlboroughedc.com/life-sciences-hub/#:~:text=Tax%20Increment%20Financing%20,Growth%20in%20Marlborough" TargetMode="External" /><Relationship Type="http://schemas.openxmlformats.org/officeDocument/2006/relationships/hyperlink" Id="rId59" Target="https://www.marcusmillichap.com/research/research-brief/2026/01/research-brief-january-2026-interest-rates-and-debt-capital-outlook" TargetMode="External" /><Relationship Type="http://schemas.openxmlformats.org/officeDocument/2006/relationships/hyperlink" Id="rId35" Target="https://www.marcusmillichap.com/research/research-brief/2026/01/research-brief-january-2026-interest-rates-and-debt-capital-outlook#:~:text=,headline%20CPI%20near%203%20percent" TargetMode="External" /><Relationship Type="http://schemas.openxmlformats.org/officeDocument/2006/relationships/hyperlink" Id="rId45" Target="https://www.marcusmillichap.com/research/research-brief/2026/01/research-brief-january-2026-interest-rates-and-debt-capital-outlook#:~:text=,market%20perceptions%20of%20risk%20could" TargetMode="External" /><Relationship Type="http://schemas.openxmlformats.org/officeDocument/2006/relationships/hyperlink" Id="rId36" Target="https://www.marcusmillichap.com/research/research-brief/2026/01/research-brief-january-2026-interest-rates-and-debt-capital-outlook#:~:text=Debt%20capital%20availability%20poised%20to,liquidity%20and%20improved%20deal%20flow" TargetMode="External" /><Relationship Type="http://schemas.openxmlformats.org/officeDocument/2006/relationships/hyperlink" Id="rId37" Target="https://www.marcusmillichap.com/research/research-brief/2026/01/research-brief-january-2026-interest-rates-and-debt-capital-outlook#:~:text=market%2C%20a%20trend%20that%20should,rates%20will%20remain%20stable%20or" TargetMode="External" /><Relationship Type="http://schemas.openxmlformats.org/officeDocument/2006/relationships/hyperlink" Id="rId56" Target="https://www.marlborough-ma.gov/369/Present-Past-Tax-Rates" TargetMode="External" /><Relationship Type="http://schemas.openxmlformats.org/officeDocument/2006/relationships/hyperlink" Id="rId30" Target="https://www.marlborough-ma.gov/369/Present-Past-Tax-Rates#:~:text=2026%2010,66%20N%2FA%20N%2FA" TargetMode="External" /><Relationship Type="http://schemas.openxmlformats.org/officeDocument/2006/relationships/hyperlink" Id="rId58" Target="https://www.mass.gov/doc/final-summary-for-25-21-an-initiative-petition-to-protect-tenants-by-limiting-rent-increases/download" TargetMode="External" /><Relationship Type="http://schemas.openxmlformats.org/officeDocument/2006/relationships/hyperlink" Id="rId32" Target="https://www.mass.gov/doc/final-summary-for-25-21-an-initiative-petition-to-protect-tenants-by-limiting-rent-increases/download#:~:text=This%20proposed%20law%20would%20limit,a%20violation%20of%20the%20state" TargetMode="External" /><Relationship Type="http://schemas.openxmlformats.org/officeDocument/2006/relationships/hyperlink" Id="rId57" Target="https://www.mass.gov/info-details/accessory-dwelling-units" TargetMode="External" /><Relationship Type="http://schemas.openxmlformats.org/officeDocument/2006/relationships/hyperlink" Id="rId31" Target="https://www.mass.gov/info-details/accessory-dwelling-units#:~:text=On%20Aug,will%20make%20a%20big%20difference" TargetMode="External" /><Relationship Type="http://schemas.openxmlformats.org/officeDocument/2006/relationships/hyperlink" Id="rId52" Target="https://www.matthews.com/market_insights/boston-ma-multifamily-market-report-november-2025" TargetMode="External" /><Relationship Type="http://schemas.openxmlformats.org/officeDocument/2006/relationships/hyperlink" Id="rId21" Target="https://www.matthews.com/market_insights/boston-ma-multifamily-market-report-november-2025#:~:text=Boston%E2%80%99s%20multifamily%20investment%20activity%20remains,nearly%20half%20of%20acquisitions%20and" TargetMode="External" /><Relationship Type="http://schemas.openxmlformats.org/officeDocument/2006/relationships/hyperlink" Id="rId60" Target="https://www.matthews.com/market_insights/cap-rate-real-estate" TargetMode="External" /><Relationship Type="http://schemas.openxmlformats.org/officeDocument/2006/relationships/hyperlink" Id="rId39" Target="https://www.matthews.com/market_insights/cap-rate-real-estate#:~:text=Debt%20markets%20in%202026%20remain,a%20higher%20cost%20of%20capital" TargetMode="External" /><Relationship Type="http://schemas.openxmlformats.org/officeDocument/2006/relationships/hyperlink" Id="rId40" Target="https://www.matthews.com/market_insights/cap-rate-real-estate#:~:text=Higher%20borrowing%20costs%20have%20reinforced,exposure%20or%20capital%20expenditure%20requirements" TargetMode="External" /><Relationship Type="http://schemas.openxmlformats.org/officeDocument/2006/relationships/hyperlink" Id="rId53" Target="https://www.signalrealestate.com/blog/boston-multi-family-cap-rates-2025-complete-investor-guide/" TargetMode="External" /><Relationship Type="http://schemas.openxmlformats.org/officeDocument/2006/relationships/hyperlink" Id="rId22" Target="https://www.signalrealestate.com/blog/boston-multi-family-cap-rates-2025-complete-investor-guide/#:~:text=,7.5" TargetMode="External" /><Relationship Type="http://schemas.openxmlformats.org/officeDocument/2006/relationships/hyperlink" Id="rId25" Target="https://www.signalrealestate.com/blog/boston-multi-family-cap-rates-2025-complete-investor-guide/#:~:text=1,cap%20rates%20relatively%20compressed%20compared" TargetMode="External" /><Relationship Type="http://schemas.openxmlformats.org/officeDocument/2006/relationships/hyperlink" Id="rId24" Target="https://www.signalrealestate.com/blog/boston-multi-family-cap-rates-2025-complete-investor-guide/#:~:text=Dorchester%20%26%20Roxbury" TargetMode="External" /><Relationship Type="http://schemas.openxmlformats.org/officeDocument/2006/relationships/hyperlink" Id="rId55" Target="https://www.zillow.com/rental-manager/market-trends/marlborough-ma/" TargetMode="External" /><Relationship Type="http://schemas.openxmlformats.org/officeDocument/2006/relationships/hyperlink" Id="rId29" Target="https://www.zillow.com/rental-manager/market-trends/marlborough-ma/#:~:text=2,studio%20apartment%20in%20Marlborough%2C%20M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2026-02-02T23:45:17Z</dcterms:created>
  <dcterms:modified xsi:type="dcterms:W3CDTF">2026-02-02T23:45:17Z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