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1edc3fb76686d968568ed3bb2422a075f27b82a"/>
    <w:p>
      <w:pPr>
        <w:pStyle w:val="Heading1"/>
      </w:pPr>
      <w:r>
        <w:t xml:space="preserve">Deal Selection Logic for Marlborough Investment Strategies</w:t>
      </w:r>
    </w:p>
    <w:p>
      <w:pPr>
        <w:pStyle w:val="FirstParagraph"/>
      </w:pPr>
      <w:r>
        <w:t xml:space="preserve">This document defines screening criteria and formulas for identifying qualified deals from the cleaned MLS dataset. It covers</w:t>
      </w:r>
      <w:r>
        <w:t xml:space="preserve"> </w:t>
      </w:r>
      <w:r>
        <w:rPr>
          <w:b/>
          <w:bCs/>
        </w:rPr>
        <w:t xml:space="preserve">core buy‑and‑hold</w:t>
      </w:r>
      <w:r>
        <w:t xml:space="preserve">,</w:t>
      </w:r>
      <w:r>
        <w:t xml:space="preserve"> </w:t>
      </w:r>
      <w:r>
        <w:rPr>
          <w:b/>
          <w:bCs/>
        </w:rPr>
        <w:t xml:space="preserve">value‑add/renovation</w:t>
      </w:r>
      <w:r>
        <w:t xml:space="preserve">,</w:t>
      </w:r>
      <w:r>
        <w:t xml:space="preserve"> </w:t>
      </w:r>
      <w:r>
        <w:rPr>
          <w:b/>
          <w:bCs/>
        </w:rPr>
        <w:t xml:space="preserve">small multi‑family income</w:t>
      </w:r>
      <w:r>
        <w:t xml:space="preserve">,</w:t>
      </w:r>
      <w:r>
        <w:t xml:space="preserve"> </w:t>
      </w:r>
      <w:r>
        <w:rPr>
          <w:b/>
          <w:bCs/>
        </w:rPr>
        <w:t xml:space="preserve">development/redevelopment</w:t>
      </w:r>
      <w:r>
        <w:t xml:space="preserve">, and</w:t>
      </w:r>
      <w:r>
        <w:t xml:space="preserve"> </w:t>
      </w:r>
      <w:r>
        <w:rPr>
          <w:b/>
          <w:bCs/>
        </w:rPr>
        <w:t xml:space="preserve">creative/unconventional</w:t>
      </w:r>
      <w:r>
        <w:t xml:space="preserve"> </w:t>
      </w:r>
      <w:r>
        <w:t xml:space="preserve">strategies. Each section specifies minimum entry cap rates, expense assumptions, NOI estimation methods, and qualitative filters for cap‑rate upside, rent growth, and development optionality. Citations from market research justify inputs such as tax rates, rent benchmarks and regulatory constraints.</w:t>
      </w:r>
    </w:p>
    <w:bookmarkStart w:id="23" w:name="general-data-preparation-and-assumptions"/>
    <w:p>
      <w:pPr>
        <w:pStyle w:val="Heading2"/>
      </w:pPr>
      <w:r>
        <w:t xml:space="preserve">General Data Preparation and Assumptions</w:t>
      </w:r>
    </w:p>
    <w:p>
      <w:pPr>
        <w:pStyle w:val="Compact"/>
        <w:numPr>
          <w:ilvl w:val="0"/>
          <w:numId w:val="1001"/>
        </w:numPr>
      </w:pPr>
      <w:r>
        <w:rPr>
          <w:b/>
          <w:bCs/>
        </w:rPr>
        <w:t xml:space="preserve">Purchase price / entry price</w:t>
      </w:r>
      <w:r>
        <w:t xml:space="preserve"> </w:t>
      </w:r>
      <w:r>
        <w:t xml:space="preserve">– for each MLS listing, use the</w:t>
      </w:r>
      <w:r>
        <w:t xml:space="preserve"> </w:t>
      </w:r>
      <w:r>
        <w:rPr>
          <w:rStyle w:val="VerbatimChar"/>
        </w:rPr>
        <w:t xml:space="preserve">LISTPRICE</w:t>
      </w:r>
      <w:r>
        <w:t xml:space="preserve"> </w:t>
      </w:r>
      <w:r>
        <w:t xml:space="preserve">(or</w:t>
      </w:r>
      <w:r>
        <w:t xml:space="preserve"> </w:t>
      </w:r>
      <w:r>
        <w:rPr>
          <w:rStyle w:val="VerbatimChar"/>
        </w:rPr>
        <w:t xml:space="preserve">SOLDPRICE</w:t>
      </w:r>
      <w:r>
        <w:t xml:space="preserve"> </w:t>
      </w:r>
      <w:r>
        <w:t xml:space="preserve">if lower) as the acquisition price.</w:t>
      </w:r>
    </w:p>
    <w:p>
      <w:pPr>
        <w:pStyle w:val="Compact"/>
        <w:numPr>
          <w:ilvl w:val="0"/>
          <w:numId w:val="1001"/>
        </w:numPr>
      </w:pPr>
      <w:r>
        <w:rPr>
          <w:b/>
          <w:bCs/>
        </w:rPr>
        <w:t xml:space="preserve">Rent estimates</w:t>
      </w:r>
      <w:r>
        <w:t xml:space="preserve"> </w:t>
      </w:r>
      <w:r>
        <w:t xml:space="preserve">– derive monthly rent per bedroom and property type using the moderate rent assumptions from the previously prepared rent report. For example, 1‑bedroom rents average ~$2,300, 2‑bedroom ~$2,700 and 3‑bedroom ~$3,500 according to RentCafe and MLS analysis</w:t>
      </w:r>
      <w:hyperlink r:id="rId21">
        <w:r>
          <w:rPr>
            <w:rStyle w:val="Hyperlink"/>
          </w:rPr>
          <w:t xml:space="preserve">[1]</w:t>
        </w:r>
      </w:hyperlink>
      <w:r>
        <w:t xml:space="preserve">. Adjust upward (aggressive) or downward (conservative) depending on the strategy.</w:t>
      </w:r>
    </w:p>
    <w:p>
      <w:pPr>
        <w:pStyle w:val="Compact"/>
        <w:numPr>
          <w:ilvl w:val="0"/>
          <w:numId w:val="1001"/>
        </w:numPr>
      </w:pPr>
      <w:r>
        <w:rPr>
          <w:b/>
          <w:bCs/>
        </w:rPr>
        <w:t xml:space="preserve">Vacancy/occupancy factor</w:t>
      </w:r>
      <w:r>
        <w:t xml:space="preserve"> </w:t>
      </w:r>
      <w:r>
        <w:t xml:space="preserve">– apply a 5 % vacancy allowance (95 % economic occupancy) to gross potential rent.</w:t>
      </w:r>
    </w:p>
    <w:p>
      <w:pPr>
        <w:pStyle w:val="Compact"/>
        <w:numPr>
          <w:ilvl w:val="0"/>
          <w:numId w:val="1001"/>
        </w:numPr>
      </w:pPr>
      <w:r>
        <w:rPr>
          <w:b/>
          <w:bCs/>
        </w:rPr>
        <w:t xml:space="preserve">Property tax</w:t>
      </w:r>
      <w:r>
        <w:t xml:space="preserve"> </w:t>
      </w:r>
      <w:r>
        <w:t xml:space="preserve">– assume Marlborough’s FY 2025 residential tax rate of</w:t>
      </w:r>
      <w:r>
        <w:t xml:space="preserve"> </w:t>
      </w:r>
      <w:r>
        <w:rPr>
          <w:b/>
          <w:bCs/>
        </w:rPr>
        <w:t xml:space="preserve">$9.86 per $1,000</w:t>
      </w:r>
      <w:r>
        <w:t xml:space="preserve"> </w:t>
      </w:r>
      <w:r>
        <w:t xml:space="preserve">of assessed value</w:t>
      </w:r>
      <w:hyperlink r:id="rId22">
        <w:r>
          <w:rPr>
            <w:rStyle w:val="Hyperlink"/>
          </w:rPr>
          <w:t xml:space="preserve">[2]</w:t>
        </w:r>
      </w:hyperlink>
      <w:r>
        <w:t xml:space="preserve"> </w:t>
      </w:r>
      <w:r>
        <w:t xml:space="preserve">(≈0.986 % of purchase price). Commercial/multifamily properties use the CIP rate of</w:t>
      </w:r>
      <w:r>
        <w:t xml:space="preserve"> </w:t>
      </w:r>
      <w:r>
        <w:rPr>
          <w:b/>
          <w:bCs/>
        </w:rPr>
        <w:t xml:space="preserve">$16.96 per $1,000</w:t>
      </w:r>
      <w:r>
        <w:t xml:space="preserve"> </w:t>
      </w:r>
      <w:r>
        <w:t xml:space="preserve">(≈1.696 %)</w:t>
      </w:r>
      <w:hyperlink r:id="rId22">
        <w:r>
          <w:rPr>
            <w:rStyle w:val="Hyperlink"/>
          </w:rPr>
          <w:t xml:space="preserve">[2]</w:t>
        </w:r>
      </w:hyperlink>
      <w:r>
        <w:t xml:space="preserve">. For development sites, use the CIP rate on land value until stabilization.</w:t>
      </w:r>
    </w:p>
    <w:p>
      <w:pPr>
        <w:pStyle w:val="Compact"/>
        <w:numPr>
          <w:ilvl w:val="0"/>
          <w:numId w:val="1001"/>
        </w:numPr>
      </w:pPr>
      <w:r>
        <w:rPr>
          <w:b/>
          <w:bCs/>
        </w:rPr>
        <w:t xml:space="preserve">Insurance, maintenance and other expenses</w:t>
      </w:r>
      <w:r>
        <w:t xml:space="preserve"> </w:t>
      </w:r>
      <w:r>
        <w:t xml:space="preserve">– use a percentage of gross rent as a proxy. This varies by strategy and property type (see below). HOA fees for condos should be estimated from listing data or assumed at $400–$600 per unit per month.</w:t>
      </w:r>
    </w:p>
    <w:p>
      <w:pPr>
        <w:pStyle w:val="Compact"/>
        <w:numPr>
          <w:ilvl w:val="0"/>
          <w:numId w:val="1001"/>
        </w:numPr>
      </w:pPr>
      <w:r>
        <w:rPr>
          <w:b/>
          <w:bCs/>
        </w:rPr>
        <w:t xml:space="preserve">Net operating income (NOI)</w:t>
      </w:r>
      <w:r>
        <w:t xml:space="preserve"> </w:t>
      </w:r>
      <w:r>
        <w:t xml:space="preserve">– computed as:</w:t>
      </w:r>
    </w:p>
    <w:p>
      <w:pPr>
        <w:pStyle w:val="FirstParagraph"/>
      </w:pPr>
      <m:oMathPara>
        <m:oMathParaPr>
          <m:jc m:val="center"/>
        </m:oMathParaPr>
        <m:oMath>
          <m:r>
            <m:rPr>
              <m:nor/>
              <m:sty m:val="p"/>
            </m:rPr>
            <m:t>NOI</m:t>
          </m:r>
          <m:r>
            <m:rPr>
              <m:sty m:val="p"/>
            </m:rPr>
            <m:t>=</m:t>
          </m:r>
          <m:d>
            <m:dPr>
              <m:begChr m:val="("/>
              <m:sepChr m:val=""/>
              <m:endChr m:val=")"/>
              <m:grow/>
            </m:dPr>
            <m:e>
              <m:r>
                <m:rPr>
                  <m:nor/>
                  <m:sty m:val="p"/>
                </m:rPr>
                <m:t>Gross Monthly Rent</m:t>
              </m:r>
              <m:r>
                <m:rPr>
                  <m:sty m:val="p"/>
                </m:rPr>
                <m:t>×</m:t>
              </m:r>
              <m:r>
                <m:t>12</m:t>
              </m:r>
              <m:r>
                <m:rPr>
                  <m:sty m:val="p"/>
                </m:rPr>
                <m:t>×</m:t>
              </m:r>
              <m:r>
                <m:t>0.95</m:t>
              </m:r>
            </m:e>
          </m:d>
          <m:r>
            <m:rPr>
              <m:sty m:val="p"/>
            </m:rPr>
            <m:t>−</m:t>
          </m:r>
          <m:r>
            <m:rPr>
              <m:nor/>
              <m:sty m:val="p"/>
            </m:rPr>
            <m:t>Operating Expenses</m:t>
          </m:r>
          <m:r>
            <m:rPr>
              <m:sty m:val="p"/>
            </m:rPr>
            <m:t>−</m:t>
          </m:r>
          <m:r>
            <m:rPr>
              <m:nor/>
              <m:sty m:val="p"/>
            </m:rPr>
            <m:t>Property Taxes</m:t>
          </m:r>
        </m:oMath>
      </m:oMathPara>
    </w:p>
    <w:p>
      <w:pPr>
        <w:pStyle w:val="Compact"/>
        <w:numPr>
          <w:ilvl w:val="0"/>
          <w:numId w:val="1002"/>
        </w:numPr>
      </w:pPr>
      <w:r>
        <w:rPr>
          <w:b/>
          <w:bCs/>
        </w:rPr>
        <w:t xml:space="preserve">Entry cap rate (</w:t>
      </w:r>
      <m:oMath>
        <m:sSub>
          <m:e>
            <m:r>
              <m:t>R</m:t>
            </m:r>
          </m:e>
          <m:sub>
            <m:r>
              <m:rPr>
                <m:sty m:val="p"/>
              </m:rPr>
              <m:t>e</m:t>
            </m:r>
            <m:r>
              <m:rPr>
                <m:sty m:val="p"/>
              </m:rPr>
              <m:t>n</m:t>
            </m:r>
            <m:r>
              <m:rPr>
                <m:sty m:val="p"/>
              </m:rPr>
              <m:t>t</m:t>
            </m:r>
            <m:r>
              <m:rPr>
                <m:sty m:val="p"/>
              </m:rPr>
              <m:t>r</m:t>
            </m:r>
            <m:r>
              <m:rPr>
                <m:sty m:val="p"/>
              </m:rPr>
              <m:t>y</m:t>
            </m:r>
          </m:sub>
        </m:sSub>
      </m:oMath>
      <w:r>
        <w:rPr>
          <w:b/>
          <w:bCs/>
        </w:rPr>
        <w:t xml:space="preserve">)</w:t>
      </w:r>
      <w:r>
        <w:t xml:space="preserve"> </w:t>
      </w:r>
      <w:r>
        <w:t xml:space="preserve">– defined as NOI divided by acquisition price:</w:t>
      </w:r>
    </w:p>
    <w:p>
      <w:pPr>
        <w:pStyle w:val="FirstParagraph"/>
      </w:pPr>
      <m:oMathPara>
        <m:oMathParaPr>
          <m:jc m:val="center"/>
        </m:oMathParaPr>
        <m:oMath>
          <m:sSub>
            <m:e>
              <m:r>
                <m:t>R</m:t>
              </m:r>
            </m:e>
            <m:sub>
              <m:r>
                <m:rPr>
                  <m:sty m:val="p"/>
                </m:rPr>
                <m:t>e</m:t>
              </m:r>
              <m:r>
                <m:rPr>
                  <m:sty m:val="p"/>
                </m:rPr>
                <m:t>n</m:t>
              </m:r>
              <m:r>
                <m:rPr>
                  <m:sty m:val="p"/>
                </m:rPr>
                <m:t>t</m:t>
              </m:r>
              <m:r>
                <m:rPr>
                  <m:sty m:val="p"/>
                </m:rPr>
                <m:t>r</m:t>
              </m:r>
              <m:r>
                <m:rPr>
                  <m:sty m:val="p"/>
                </m:rPr>
                <m:t>y</m:t>
              </m:r>
            </m:sub>
          </m:sSub>
          <m:r>
            <m:rPr>
              <m:sty m:val="p"/>
            </m:rPr>
            <m:t>=</m:t>
          </m:r>
          <m:f>
            <m:fPr>
              <m:type m:val="bar"/>
            </m:fPr>
            <m:num>
              <m:r>
                <m:rPr>
                  <m:nor/>
                  <m:sty m:val="p"/>
                </m:rPr>
                <m:t>NOI</m:t>
              </m:r>
            </m:num>
            <m:den>
              <m:r>
                <m:rPr>
                  <m:nor/>
                  <m:sty m:val="p"/>
                </m:rPr>
                <m:t>Purchase Price</m:t>
              </m:r>
            </m:den>
          </m:f>
        </m:oMath>
      </m:oMathPara>
    </w:p>
    <w:p>
      <w:pPr>
        <w:pStyle w:val="FirstParagraph"/>
      </w:pPr>
      <w:r>
        <w:t xml:space="preserve">A deal qualifies if</w:t>
      </w:r>
      <w:r>
        <w:t xml:space="preserve"> </w:t>
      </w:r>
      <m:oMath>
        <m:sSub>
          <m:e>
            <m:r>
              <m:t>R</m:t>
            </m:r>
          </m:e>
          <m:sub>
            <m:r>
              <m:rPr>
                <m:sty m:val="p"/>
              </m:rPr>
              <m:t>e</m:t>
            </m:r>
            <m:r>
              <m:rPr>
                <m:sty m:val="p"/>
              </m:rPr>
              <m:t>n</m:t>
            </m:r>
            <m:r>
              <m:rPr>
                <m:sty m:val="p"/>
              </m:rPr>
              <m:t>t</m:t>
            </m:r>
            <m:r>
              <m:rPr>
                <m:sty m:val="p"/>
              </m:rPr>
              <m:t>r</m:t>
            </m:r>
            <m:r>
              <m:rPr>
                <m:sty m:val="p"/>
              </m:rPr>
              <m:t>y</m:t>
            </m:r>
          </m:sub>
        </m:sSub>
      </m:oMath>
      <w:r>
        <w:t xml:space="preserve"> </w:t>
      </w:r>
      <w:r>
        <w:t xml:space="preserve">exceeds the strategy’s minimum threshold.</w:t>
      </w:r>
    </w:p>
    <w:bookmarkEnd w:id="23"/>
    <w:bookmarkStart w:id="27" w:name="core-buyandhold-lower-cap-lower-risk"/>
    <w:p>
      <w:pPr>
        <w:pStyle w:val="Heading2"/>
      </w:pPr>
      <w:r>
        <w:t xml:space="preserve">1 Core Buy‑and‑Hold (Lower Cap, Lower Risk)</w:t>
      </w:r>
    </w:p>
    <w:p>
      <w:pPr>
        <w:pStyle w:val="Compact"/>
        <w:numPr>
          <w:ilvl w:val="0"/>
          <w:numId w:val="1003"/>
        </w:numPr>
      </w:pPr>
      <w:r>
        <w:rPr>
          <w:b/>
          <w:bCs/>
        </w:rPr>
        <w:t xml:space="preserve">Minimum entry cap rate</w:t>
      </w:r>
      <w:r>
        <w:t xml:space="preserve"> </w:t>
      </w:r>
      <w:r>
        <w:t xml:space="preserve">–</w:t>
      </w:r>
      <w:r>
        <w:t xml:space="preserve"> </w:t>
      </w:r>
      <w:r>
        <w:rPr>
          <w:b/>
          <w:bCs/>
        </w:rPr>
        <w:t xml:space="preserve">≥ 5.5 %</w:t>
      </w:r>
      <w:r>
        <w:t xml:space="preserve">. Core deals aim for stable cash flow with limited upside; therefore they tolerate a lower yield than value‑add plays but should exceed prevailing Boston Class A multifamily cap rates (~4.8–5.5 %)</w:t>
      </w:r>
      <w:hyperlink r:id="rId24">
        <w:r>
          <w:rPr>
            <w:rStyle w:val="Hyperlink"/>
          </w:rPr>
          <w:t xml:space="preserve">[3]</w:t>
        </w:r>
      </w:hyperlink>
      <w:r>
        <w:t xml:space="preserve">.</w:t>
      </w:r>
    </w:p>
    <w:p>
      <w:pPr>
        <w:pStyle w:val="Compact"/>
        <w:numPr>
          <w:ilvl w:val="0"/>
          <w:numId w:val="1003"/>
        </w:numPr>
      </w:pPr>
      <w:r>
        <w:rPr>
          <w:b/>
          <w:bCs/>
        </w:rPr>
        <w:t xml:space="preserve">Expense assumptions</w:t>
      </w:r>
      <w:r>
        <w:t xml:space="preserve"> </w:t>
      </w:r>
      <w:r>
        <w:t xml:space="preserve">– assume</w:t>
      </w:r>
      <w:r>
        <w:t xml:space="preserve"> </w:t>
      </w:r>
      <w:r>
        <w:rPr>
          <w:b/>
          <w:bCs/>
        </w:rPr>
        <w:t xml:space="preserve">30 % of gross rent</w:t>
      </w:r>
      <w:r>
        <w:t xml:space="preserve"> </w:t>
      </w:r>
      <w:r>
        <w:t xml:space="preserve">for operating costs (maintenance, insurance, management) plus</w:t>
      </w:r>
      <w:r>
        <w:t xml:space="preserve"> </w:t>
      </w:r>
      <w:r>
        <w:rPr>
          <w:b/>
          <w:bCs/>
        </w:rPr>
        <w:t xml:space="preserve">property tax</w:t>
      </w:r>
      <w:r>
        <w:t xml:space="preserve"> </w:t>
      </w:r>
      <w:r>
        <w:t xml:space="preserve">at ~0.986 % of purchase price</w:t>
      </w:r>
      <w:hyperlink r:id="rId22">
        <w:r>
          <w:rPr>
            <w:rStyle w:val="Hyperlink"/>
          </w:rPr>
          <w:t xml:space="preserve">[2]</w:t>
        </w:r>
      </w:hyperlink>
      <w:r>
        <w:t xml:space="preserve">. For condos, add HOA fees estimated from the listing.</w:t>
      </w:r>
    </w:p>
    <w:p>
      <w:pPr>
        <w:pStyle w:val="Compact"/>
        <w:numPr>
          <w:ilvl w:val="0"/>
          <w:numId w:val="1003"/>
        </w:numPr>
      </w:pPr>
      <w:r>
        <w:rPr>
          <w:b/>
          <w:bCs/>
        </w:rPr>
        <w:t xml:space="preserve">NOI estimation</w:t>
      </w:r>
      <w:r>
        <w:t xml:space="preserve"> </w:t>
      </w:r>
      <w:r>
        <w:t xml:space="preserve">– compute gross rent using moderate rent assumptions for the unit’s bedroom count and property type. Apply the 30 % operating expense ratio and property tax to derive NOI.</w:t>
      </w:r>
    </w:p>
    <w:p>
      <w:pPr>
        <w:pStyle w:val="Compact"/>
        <w:numPr>
          <w:ilvl w:val="0"/>
          <w:numId w:val="1003"/>
        </w:numPr>
      </w:pPr>
      <w:r>
        <w:rPr>
          <w:b/>
          <w:bCs/>
        </w:rPr>
        <w:t xml:space="preserve">Screening for cap‑rate upside</w:t>
      </w:r>
      <w:r>
        <w:t xml:space="preserve"> </w:t>
      </w:r>
      <w:r>
        <w:t xml:space="preserve">– filter out listings where projected stabilized cap rate (using aggressive rent assumptions) is less than 1 % above entry cap rate. Focus on properties priced below median price per square foot for their type/year, indicating potential undervaluation relative to rent.</w:t>
      </w:r>
    </w:p>
    <w:p>
      <w:pPr>
        <w:pStyle w:val="Compact"/>
        <w:numPr>
          <w:ilvl w:val="0"/>
          <w:numId w:val="1003"/>
        </w:numPr>
      </w:pPr>
      <w:r>
        <w:rPr>
          <w:b/>
          <w:bCs/>
        </w:rPr>
        <w:t xml:space="preserve">Rent growth potential</w:t>
      </w:r>
      <w:r>
        <w:t xml:space="preserve"> </w:t>
      </w:r>
      <w:r>
        <w:t xml:space="preserve">– select neighborhoods/zip codes where MLS median sale prices have appreciated above the city median over the past two years and days‑on‑market are low. Use Data USA demographics to favour areas with rising incomes and population</w:t>
      </w:r>
      <w:hyperlink r:id="rId25">
        <w:r>
          <w:rPr>
            <w:rStyle w:val="Hyperlink"/>
          </w:rPr>
          <w:t xml:space="preserve">[4]</w:t>
        </w:r>
      </w:hyperlink>
      <w:r>
        <w:t xml:space="preserve">. Avoid units built in the last five years because upside is limited.</w:t>
      </w:r>
    </w:p>
    <w:p>
      <w:pPr>
        <w:pStyle w:val="Compact"/>
        <w:numPr>
          <w:ilvl w:val="0"/>
          <w:numId w:val="1003"/>
        </w:numPr>
      </w:pPr>
      <w:r>
        <w:rPr>
          <w:b/>
          <w:bCs/>
        </w:rPr>
        <w:t xml:space="preserve">Development optionality</w:t>
      </w:r>
      <w:r>
        <w:t xml:space="preserve"> </w:t>
      </w:r>
      <w:r>
        <w:t xml:space="preserve">– require lot size ≤10,000 ft² and absence of excess yard area. Core buy‑and‑hold prioritizes turnkey properties with little redevelopment potential; ADU creation is optional but not critical. Check that the zoning allows at least one accessory dwelling unit under the new Massachusetts ADU law (units up to 900 ft² built by right)</w:t>
      </w:r>
      <w:hyperlink r:id="rId26">
        <w:r>
          <w:rPr>
            <w:rStyle w:val="Hyperlink"/>
          </w:rPr>
          <w:t xml:space="preserve">[5]</w:t>
        </w:r>
      </w:hyperlink>
      <w:r>
        <w:t xml:space="preserve">.</w:t>
      </w:r>
    </w:p>
    <w:bookmarkEnd w:id="27"/>
    <w:bookmarkStart w:id="30" w:name="valueadd-renovation-strategy"/>
    <w:p>
      <w:pPr>
        <w:pStyle w:val="Heading2"/>
      </w:pPr>
      <w:r>
        <w:t xml:space="preserve">2 Value‑Add / Renovation Strategy</w:t>
      </w:r>
    </w:p>
    <w:p>
      <w:pPr>
        <w:pStyle w:val="Compact"/>
        <w:numPr>
          <w:ilvl w:val="0"/>
          <w:numId w:val="1004"/>
        </w:numPr>
      </w:pPr>
      <w:r>
        <w:rPr>
          <w:b/>
          <w:bCs/>
        </w:rPr>
        <w:t xml:space="preserve">Minimum entry cap rate</w:t>
      </w:r>
      <w:r>
        <w:t xml:space="preserve"> </w:t>
      </w:r>
      <w:r>
        <w:t xml:space="preserve">–</w:t>
      </w:r>
      <w:r>
        <w:t xml:space="preserve"> </w:t>
      </w:r>
      <w:r>
        <w:rPr>
          <w:b/>
          <w:bCs/>
        </w:rPr>
        <w:t xml:space="preserve">≥ 5 %</w:t>
      </w:r>
      <w:r>
        <w:t xml:space="preserve">. Lower entry yield is acceptable because improvements should increase NOI and compress cap rates to ≥6.5 %.</w:t>
      </w:r>
    </w:p>
    <w:p>
      <w:pPr>
        <w:pStyle w:val="Compact"/>
        <w:numPr>
          <w:ilvl w:val="0"/>
          <w:numId w:val="1004"/>
        </w:numPr>
      </w:pPr>
      <w:r>
        <w:rPr>
          <w:b/>
          <w:bCs/>
        </w:rPr>
        <w:t xml:space="preserve">Expense assumptions</w:t>
      </w:r>
      <w:r>
        <w:t xml:space="preserve"> </w:t>
      </w:r>
      <w:r>
        <w:t xml:space="preserve">– assume</w:t>
      </w:r>
      <w:r>
        <w:t xml:space="preserve"> </w:t>
      </w:r>
      <w:r>
        <w:rPr>
          <w:b/>
          <w:bCs/>
        </w:rPr>
        <w:t xml:space="preserve">35 % of gross rent</w:t>
      </w:r>
      <w:r>
        <w:t xml:space="preserve"> </w:t>
      </w:r>
      <w:r>
        <w:t xml:space="preserve">for operating expenses (higher due to deferred maintenance) plus property tax at the residential rate. Include a capital expenditure allowance of</w:t>
      </w:r>
      <w:r>
        <w:t xml:space="preserve"> </w:t>
      </w:r>
      <w:r>
        <w:rPr>
          <w:b/>
          <w:bCs/>
        </w:rPr>
        <w:t xml:space="preserve">$15–$25 per ft²</w:t>
      </w:r>
      <w:r>
        <w:t xml:space="preserve"> </w:t>
      </w:r>
      <w:r>
        <w:t xml:space="preserve">for cosmetic and systems upgrades; this is a one‑time cost funded at acquisition and amortized over five years.</w:t>
      </w:r>
    </w:p>
    <w:p>
      <w:pPr>
        <w:pStyle w:val="Compact"/>
        <w:numPr>
          <w:ilvl w:val="0"/>
          <w:numId w:val="1004"/>
        </w:numPr>
      </w:pPr>
      <w:r>
        <w:rPr>
          <w:b/>
          <w:bCs/>
        </w:rPr>
        <w:t xml:space="preserve">NOI estimation</w:t>
      </w:r>
      <w:r>
        <w:t xml:space="preserve"> </w:t>
      </w:r>
      <w:r>
        <w:t xml:space="preserve">– use conservative rents to compute entry NOI; for stabilized NOI, use aggressive rent assumptions (reflecting market rents for renovated units). Apply the 35 % expense ratio and property tax.</w:t>
      </w:r>
    </w:p>
    <w:p>
      <w:pPr>
        <w:pStyle w:val="Compact"/>
        <w:numPr>
          <w:ilvl w:val="0"/>
          <w:numId w:val="1004"/>
        </w:numPr>
      </w:pPr>
      <w:r>
        <w:rPr>
          <w:b/>
          <w:bCs/>
        </w:rPr>
        <w:t xml:space="preserve">Screening for cap‑rate upside</w:t>
      </w:r>
      <w:r>
        <w:t xml:space="preserve"> </w:t>
      </w:r>
      <w:r>
        <w:t xml:space="preserve">– compute the difference between stabilized and entry cap rates; require at least</w:t>
      </w:r>
      <w:r>
        <w:t xml:space="preserve"> </w:t>
      </w:r>
      <w:r>
        <w:rPr>
          <w:b/>
          <w:bCs/>
        </w:rPr>
        <w:t xml:space="preserve">150 basis points (1.5 %)</w:t>
      </w:r>
      <w:r>
        <w:t xml:space="preserve"> </w:t>
      </w:r>
      <w:r>
        <w:t xml:space="preserve">increase. Filter for older properties (built before 1990) with below‑average price per square foot, high DOM (days on market) and dated finishes. MLS remarks and photos can flag “needs updating,” “estate sale,” or “as‑is” language.</w:t>
      </w:r>
    </w:p>
    <w:p>
      <w:pPr>
        <w:pStyle w:val="Compact"/>
        <w:numPr>
          <w:ilvl w:val="0"/>
          <w:numId w:val="1004"/>
        </w:numPr>
      </w:pPr>
      <w:r>
        <w:rPr>
          <w:b/>
          <w:bCs/>
        </w:rPr>
        <w:t xml:space="preserve">Rent growth potential</w:t>
      </w:r>
      <w:r>
        <w:t xml:space="preserve"> </w:t>
      </w:r>
      <w:r>
        <w:t xml:space="preserve">– prioritise areas benefiting from new employers or infrastructure projects. For example, near developments like Alta Marlborough or Green District phases</w:t>
      </w:r>
      <w:hyperlink r:id="rId28">
        <w:r>
          <w:rPr>
            <w:rStyle w:val="Hyperlink"/>
          </w:rPr>
          <w:t xml:space="preserve">[6]</w:t>
        </w:r>
      </w:hyperlink>
      <w:r>
        <w:t xml:space="preserve"> </w:t>
      </w:r>
      <w:r>
        <w:t xml:space="preserve">that will increase demand. Use rent‑gap analysis: if projected rent after renovation remains below 110 % of current market rents (to avoid exceeding market ceiling), it qualifies.</w:t>
      </w:r>
    </w:p>
    <w:p>
      <w:pPr>
        <w:pStyle w:val="Compact"/>
        <w:numPr>
          <w:ilvl w:val="0"/>
          <w:numId w:val="1004"/>
        </w:numPr>
      </w:pPr>
      <w:r>
        <w:rPr>
          <w:b/>
          <w:bCs/>
        </w:rPr>
        <w:t xml:space="preserve">Development optionality</w:t>
      </w:r>
      <w:r>
        <w:t xml:space="preserve"> </w:t>
      </w:r>
      <w:r>
        <w:t xml:space="preserve">– look for properties on lots &gt;15,000 ft² where zoning permits conversion from single‑family to two‑family or three units (minimum 1,800 ft² and 15,000 ft² lot required for conversion</w:t>
      </w:r>
      <w:hyperlink r:id="rId29">
        <w:r>
          <w:rPr>
            <w:rStyle w:val="Hyperlink"/>
          </w:rPr>
          <w:t xml:space="preserve">[7]</w:t>
        </w:r>
      </w:hyperlink>
      <w:r>
        <w:t xml:space="preserve">). This provides optionality to add an ADU or subdivide in the future. Avoid properties in neighbourhoods where restrictions on multi‑family or ADUs are stringent.</w:t>
      </w:r>
    </w:p>
    <w:bookmarkEnd w:id="30"/>
    <w:bookmarkStart w:id="33" w:name="X2431ee643d3de819b8a5c84fc9e427ddb940ae4"/>
    <w:p>
      <w:pPr>
        <w:pStyle w:val="Heading2"/>
      </w:pPr>
      <w:r>
        <w:t xml:space="preserve">3 Small Multi‑Family Income Strategy (3–20 Units)</w:t>
      </w:r>
    </w:p>
    <w:p>
      <w:pPr>
        <w:pStyle w:val="Compact"/>
        <w:numPr>
          <w:ilvl w:val="0"/>
          <w:numId w:val="1005"/>
        </w:numPr>
      </w:pPr>
      <w:r>
        <w:rPr>
          <w:b/>
          <w:bCs/>
        </w:rPr>
        <w:t xml:space="preserve">Minimum entry cap rate</w:t>
      </w:r>
      <w:r>
        <w:t xml:space="preserve"> </w:t>
      </w:r>
      <w:r>
        <w:t xml:space="preserve">–</w:t>
      </w:r>
      <w:r>
        <w:t xml:space="preserve"> </w:t>
      </w:r>
      <w:r>
        <w:rPr>
          <w:b/>
          <w:bCs/>
        </w:rPr>
        <w:t xml:space="preserve">≥ 6 %</w:t>
      </w:r>
      <w:r>
        <w:t xml:space="preserve">. Multi‑family investors expect higher yields due to management complexity and regulatory risk. Given Boston Class B yields 5.5–6.5 %</w:t>
      </w:r>
      <w:hyperlink r:id="rId24">
        <w:r>
          <w:rPr>
            <w:rStyle w:val="Hyperlink"/>
          </w:rPr>
          <w:t xml:space="preserve">[3]</w:t>
        </w:r>
      </w:hyperlink>
      <w:r>
        <w:t xml:space="preserve">, Marlborough should command 6 % or greater.</w:t>
      </w:r>
    </w:p>
    <w:p>
      <w:pPr>
        <w:pStyle w:val="Compact"/>
        <w:numPr>
          <w:ilvl w:val="0"/>
          <w:numId w:val="1005"/>
        </w:numPr>
      </w:pPr>
      <w:r>
        <w:rPr>
          <w:b/>
          <w:bCs/>
        </w:rPr>
        <w:t xml:space="preserve">Expense assumptions</w:t>
      </w:r>
      <w:r>
        <w:t xml:space="preserve"> </w:t>
      </w:r>
      <w:r>
        <w:t xml:space="preserve">– adopt</w:t>
      </w:r>
      <w:r>
        <w:t xml:space="preserve"> </w:t>
      </w:r>
      <w:r>
        <w:rPr>
          <w:b/>
          <w:bCs/>
        </w:rPr>
        <w:t xml:space="preserve">40 % of gross rent</w:t>
      </w:r>
      <w:r>
        <w:t xml:space="preserve"> </w:t>
      </w:r>
      <w:r>
        <w:t xml:space="preserve">for operating expenses (includes on‑site management, utilities common areas, and repairs) plus property tax at the CIP rate (~1.696 %)</w:t>
      </w:r>
      <w:hyperlink r:id="rId22">
        <w:r>
          <w:rPr>
            <w:rStyle w:val="Hyperlink"/>
          </w:rPr>
          <w:t xml:space="preserve">[2]</w:t>
        </w:r>
      </w:hyperlink>
      <w:r>
        <w:t xml:space="preserve">.</w:t>
      </w:r>
    </w:p>
    <w:p>
      <w:pPr>
        <w:pStyle w:val="Compact"/>
        <w:numPr>
          <w:ilvl w:val="0"/>
          <w:numId w:val="1005"/>
        </w:numPr>
      </w:pPr>
      <w:r>
        <w:rPr>
          <w:b/>
          <w:bCs/>
        </w:rPr>
        <w:t xml:space="preserve">NOI estimation</w:t>
      </w:r>
      <w:r>
        <w:t xml:space="preserve"> </w:t>
      </w:r>
      <w:r>
        <w:t xml:space="preserve">– derive gross rent from bedroom‑count rent assumptions multiplied by number of units; apply vacancy factor and the 40 % expense ratio. Include potential ancillary income (laundry, parking) as 5 % of gross rent.</w:t>
      </w:r>
    </w:p>
    <w:p>
      <w:pPr>
        <w:pStyle w:val="Compact"/>
        <w:numPr>
          <w:ilvl w:val="0"/>
          <w:numId w:val="1005"/>
        </w:numPr>
      </w:pPr>
      <w:r>
        <w:rPr>
          <w:b/>
          <w:bCs/>
        </w:rPr>
        <w:t xml:space="preserve">Screening for cap‑rate upside</w:t>
      </w:r>
      <w:r>
        <w:t xml:space="preserve"> </w:t>
      </w:r>
      <w:r>
        <w:t xml:space="preserve">– compute pro‑forma NOI using aggressive rent assumptions (market rents) and capital improvements (e.g., interior upgrades). Require a stabilized cap rate ≥7 %. Check that current rents (if provided) are at least 10 % below market, indicating room for rent lifts. Use property age (pre‑1980), high operational expenses, or mismanagement flagged in broker remarks.</w:t>
      </w:r>
    </w:p>
    <w:p>
      <w:pPr>
        <w:pStyle w:val="Compact"/>
        <w:numPr>
          <w:ilvl w:val="0"/>
          <w:numId w:val="1005"/>
        </w:numPr>
      </w:pPr>
      <w:r>
        <w:rPr>
          <w:b/>
          <w:bCs/>
        </w:rPr>
        <w:t xml:space="preserve">Rent growth potential</w:t>
      </w:r>
      <w:r>
        <w:t xml:space="preserve"> </w:t>
      </w:r>
      <w:r>
        <w:t xml:space="preserve">– favour properties near major employers or new mixed‑use projects (e.g., Sartorius and Moderna expansions which brought hundreds of jobs</w:t>
      </w:r>
      <w:hyperlink r:id="rId31">
        <w:r>
          <w:rPr>
            <w:rStyle w:val="Hyperlink"/>
          </w:rPr>
          <w:t xml:space="preserve">[8]</w:t>
        </w:r>
      </w:hyperlink>
      <w:r>
        <w:t xml:space="preserve">). Evaluate census tracts with high share of renters and limited construction; cross‑reference MLS transaction volume by year to infer supply constraints.</w:t>
      </w:r>
    </w:p>
    <w:p>
      <w:pPr>
        <w:pStyle w:val="Compact"/>
        <w:numPr>
          <w:ilvl w:val="0"/>
          <w:numId w:val="1005"/>
        </w:numPr>
      </w:pPr>
      <w:r>
        <w:rPr>
          <w:b/>
          <w:bCs/>
        </w:rPr>
        <w:t xml:space="preserve">Development optionality</w:t>
      </w:r>
      <w:r>
        <w:t xml:space="preserve"> </w:t>
      </w:r>
      <w:r>
        <w:t xml:space="preserve">– choose parcels with excess land or parking that could support additional units. Zoning in Marlborough allows multiple structures if each building faces a street or open space and provides 5,000 ft² of lot area per family</w:t>
      </w:r>
      <w:hyperlink r:id="rId32">
        <w:r>
          <w:rPr>
            <w:rStyle w:val="Hyperlink"/>
          </w:rPr>
          <w:t xml:space="preserve">[9]</w:t>
        </w:r>
      </w:hyperlink>
      <w:r>
        <w:t xml:space="preserve">. If the lot meets these criteria, there may be potential to add units or split the parcel. Also consider whether ADUs can be added to each unit (e.g., converting basements to legal accessory apartments).</w:t>
      </w:r>
    </w:p>
    <w:bookmarkEnd w:id="33"/>
    <w:bookmarkStart w:id="39" w:name="development-redevelopment-strategy"/>
    <w:p>
      <w:pPr>
        <w:pStyle w:val="Heading2"/>
      </w:pPr>
      <w:r>
        <w:t xml:space="preserve">4 Development / Redevelopment Strategy</w:t>
      </w:r>
    </w:p>
    <w:p>
      <w:pPr>
        <w:pStyle w:val="Compact"/>
        <w:numPr>
          <w:ilvl w:val="0"/>
          <w:numId w:val="1006"/>
        </w:numPr>
      </w:pPr>
      <w:r>
        <w:rPr>
          <w:b/>
          <w:bCs/>
        </w:rPr>
        <w:t xml:space="preserve">Minimum entry cap rate</w:t>
      </w:r>
      <w:r>
        <w:t xml:space="preserve"> </w:t>
      </w:r>
      <w:r>
        <w:t xml:space="preserve">– acquisition cap rates are not the primary metric; focus on</w:t>
      </w:r>
      <w:r>
        <w:t xml:space="preserve"> </w:t>
      </w:r>
      <w:r>
        <w:rPr>
          <w:b/>
          <w:bCs/>
        </w:rPr>
        <w:t xml:space="preserve">projected stabilized cap rate ≥ 7 %</w:t>
      </w:r>
      <w:r>
        <w:t xml:space="preserve"> </w:t>
      </w:r>
      <w:r>
        <w:t xml:space="preserve">upon completion. Land acquisitions may show negative initial yield.</w:t>
      </w:r>
    </w:p>
    <w:p>
      <w:pPr>
        <w:pStyle w:val="Compact"/>
        <w:numPr>
          <w:ilvl w:val="0"/>
          <w:numId w:val="1006"/>
        </w:numPr>
      </w:pPr>
      <w:r>
        <w:rPr>
          <w:b/>
          <w:bCs/>
        </w:rPr>
        <w:t xml:space="preserve">Expense assumptions</w:t>
      </w:r>
      <w:r>
        <w:t xml:space="preserve"> </w:t>
      </w:r>
      <w:r>
        <w:t xml:space="preserve">– construction costs estimated at</w:t>
      </w:r>
      <w:r>
        <w:t xml:space="preserve"> </w:t>
      </w:r>
      <w:r>
        <w:rPr>
          <w:b/>
          <w:bCs/>
        </w:rPr>
        <w:t xml:space="preserve">$225–$300 per ft²</w:t>
      </w:r>
      <w:r>
        <w:t xml:space="preserve"> </w:t>
      </w:r>
      <w:r>
        <w:t xml:space="preserve">for residential and</w:t>
      </w:r>
      <w:r>
        <w:t xml:space="preserve"> </w:t>
      </w:r>
      <w:r>
        <w:rPr>
          <w:b/>
          <w:bCs/>
        </w:rPr>
        <w:t xml:space="preserve">$350 + per ft²</w:t>
      </w:r>
      <w:r>
        <w:t xml:space="preserve"> </w:t>
      </w:r>
      <w:r>
        <w:t xml:space="preserve">for mixed‑use, plus soft costs (~15 % of hard costs) and financing. Operating expenses after stabilization assumed at</w:t>
      </w:r>
      <w:r>
        <w:t xml:space="preserve"> </w:t>
      </w:r>
      <w:r>
        <w:rPr>
          <w:b/>
          <w:bCs/>
        </w:rPr>
        <w:t xml:space="preserve">30–40 %</w:t>
      </w:r>
      <w:r>
        <w:t xml:space="preserve"> </w:t>
      </w:r>
      <w:r>
        <w:t xml:space="preserve">of gross rent, depending on property type. Property tax on unimproved land uses CIP rate; after completion, apply residential or CIP rate as appropriate.</w:t>
      </w:r>
    </w:p>
    <w:p>
      <w:pPr>
        <w:pStyle w:val="Compact"/>
        <w:numPr>
          <w:ilvl w:val="0"/>
          <w:numId w:val="1006"/>
        </w:numPr>
      </w:pPr>
      <w:r>
        <w:rPr>
          <w:b/>
          <w:bCs/>
        </w:rPr>
        <w:t xml:space="preserve">NOI estimation</w:t>
      </w:r>
      <w:r>
        <w:t xml:space="preserve"> </w:t>
      </w:r>
      <w:r>
        <w:t xml:space="preserve">– project rents by multiplying units and square footage by market rents at time of completion. Use moderate rent growth (2–3 % per year) through construction. Subtract projected expenses and taxes to estimate stabilized NOI; discount back to determine internal rate of return.</w:t>
      </w:r>
    </w:p>
    <w:p>
      <w:pPr>
        <w:pStyle w:val="Compact"/>
        <w:numPr>
          <w:ilvl w:val="0"/>
          <w:numId w:val="1006"/>
        </w:numPr>
      </w:pPr>
      <w:r>
        <w:rPr>
          <w:b/>
          <w:bCs/>
        </w:rPr>
        <w:t xml:space="preserve">Screening for cap‑rate upside</w:t>
      </w:r>
      <w:r>
        <w:t xml:space="preserve"> </w:t>
      </w:r>
      <w:r>
        <w:t xml:space="preserve">– target parcels where current use is obsolete (e.g., vacant commercial buildings or under‑utilized single‑family homes on large lots). Ensure zoning allows multifamily or mixed‑use; Marlborough zoning permits multi‑family if lot meets Article VII requirements and provides landscaped area</w:t>
      </w:r>
      <w:hyperlink r:id="rId34">
        <w:r>
          <w:rPr>
            <w:rStyle w:val="Hyperlink"/>
          </w:rPr>
          <w:t xml:space="preserve">[10]</w:t>
        </w:r>
      </w:hyperlink>
      <w:r>
        <w:t xml:space="preserve">. Favour properties in urban renewal areas or near city‑sponsored projects like Exchange Place or Walcott Heritage Farms</w:t>
      </w:r>
      <w:hyperlink r:id="rId35">
        <w:r>
          <w:rPr>
            <w:rStyle w:val="Hyperlink"/>
          </w:rPr>
          <w:t xml:space="preserve">[11]</w:t>
        </w:r>
      </w:hyperlink>
      <w:hyperlink r:id="rId36">
        <w:r>
          <w:rPr>
            <w:rStyle w:val="Hyperlink"/>
          </w:rPr>
          <w:t xml:space="preserve">[12]</w:t>
        </w:r>
      </w:hyperlink>
      <w:r>
        <w:t xml:space="preserve">.</w:t>
      </w:r>
    </w:p>
    <w:p>
      <w:pPr>
        <w:pStyle w:val="Compact"/>
        <w:numPr>
          <w:ilvl w:val="0"/>
          <w:numId w:val="1006"/>
        </w:numPr>
      </w:pPr>
      <w:r>
        <w:rPr>
          <w:b/>
          <w:bCs/>
        </w:rPr>
        <w:t xml:space="preserve">Rent growth potential</w:t>
      </w:r>
      <w:r>
        <w:t xml:space="preserve"> </w:t>
      </w:r>
      <w:r>
        <w:t xml:space="preserve">– rely on demographic trends: Marlborough’s population grew 7.5 % between 2012 and 2022</w:t>
      </w:r>
      <w:hyperlink r:id="rId37">
        <w:r>
          <w:rPr>
            <w:rStyle w:val="Hyperlink"/>
          </w:rPr>
          <w:t xml:space="preserve">[13]</w:t>
        </w:r>
      </w:hyperlink>
      <w:r>
        <w:t xml:space="preserve"> </w:t>
      </w:r>
      <w:r>
        <w:t xml:space="preserve">and unemployment is low</w:t>
      </w:r>
      <w:hyperlink r:id="rId38">
        <w:r>
          <w:rPr>
            <w:rStyle w:val="Hyperlink"/>
          </w:rPr>
          <w:t xml:space="preserve">[14]</w:t>
        </w:r>
      </w:hyperlink>
      <w:r>
        <w:t xml:space="preserve">. Select sites near new life‑science employers; this supports strong lease‑up and premium rents.</w:t>
      </w:r>
    </w:p>
    <w:p>
      <w:pPr>
        <w:pStyle w:val="Compact"/>
        <w:numPr>
          <w:ilvl w:val="0"/>
          <w:numId w:val="1006"/>
        </w:numPr>
      </w:pPr>
      <w:r>
        <w:rPr>
          <w:b/>
          <w:bCs/>
        </w:rPr>
        <w:t xml:space="preserve">Development optionality</w:t>
      </w:r>
      <w:r>
        <w:t xml:space="preserve"> </w:t>
      </w:r>
      <w:r>
        <w:t xml:space="preserve">– require lot size ≥25,000 ft² for large multi‑family or mixed‑use; check for by‑right density bonuses (e.g., 40R districts) or tax‑increment financing (TIF) eligibility, which can reduce property taxes for a period</w:t>
      </w:r>
      <w:hyperlink r:id="rId31">
        <w:r>
          <w:rPr>
            <w:rStyle w:val="Hyperlink"/>
          </w:rPr>
          <w:t xml:space="preserve">[8]</w:t>
        </w:r>
      </w:hyperlink>
      <w:r>
        <w:t xml:space="preserve">. Confirm that conversion from single‑family to multi‑family is allowed under zoning (1,800 ft² minimum floor area per two‑family conversion)</w:t>
      </w:r>
      <w:hyperlink r:id="rId29">
        <w:r>
          <w:rPr>
            <w:rStyle w:val="Hyperlink"/>
          </w:rPr>
          <w:t xml:space="preserve">[7]</w:t>
        </w:r>
      </w:hyperlink>
      <w:r>
        <w:t xml:space="preserve">. Evaluate potential to subdivide or assemble adjacent parcels.</w:t>
      </w:r>
    </w:p>
    <w:bookmarkEnd w:id="39"/>
    <w:bookmarkStart w:id="43" w:name="X326469ab2e599c22199ff7c1e9d41710e74cc16"/>
    <w:p>
      <w:pPr>
        <w:pStyle w:val="Heading2"/>
      </w:pPr>
      <w:r>
        <w:t xml:space="preserve">5 Creative / Unconventional Strategy (Co‑living, ADU Portfolio, Short‑Term Rentals)</w:t>
      </w:r>
    </w:p>
    <w:p>
      <w:pPr>
        <w:pStyle w:val="Compact"/>
        <w:numPr>
          <w:ilvl w:val="0"/>
          <w:numId w:val="1007"/>
        </w:numPr>
      </w:pPr>
      <w:r>
        <w:rPr>
          <w:b/>
          <w:bCs/>
        </w:rPr>
        <w:t xml:space="preserve">Minimum entry cap rate</w:t>
      </w:r>
      <w:r>
        <w:t xml:space="preserve"> </w:t>
      </w:r>
      <w:r>
        <w:t xml:space="preserve">–</w:t>
      </w:r>
      <w:r>
        <w:t xml:space="preserve"> </w:t>
      </w:r>
      <w:r>
        <w:rPr>
          <w:b/>
          <w:bCs/>
        </w:rPr>
        <w:t xml:space="preserve">≥ 6.5 %</w:t>
      </w:r>
      <w:r>
        <w:t xml:space="preserve"> </w:t>
      </w:r>
      <w:r>
        <w:t xml:space="preserve">on a pro‑forma basis. This higher threshold compensates for operational complexity and regulatory uncertainty.</w:t>
      </w:r>
    </w:p>
    <w:p>
      <w:pPr>
        <w:pStyle w:val="Compact"/>
        <w:numPr>
          <w:ilvl w:val="0"/>
          <w:numId w:val="1007"/>
        </w:numPr>
      </w:pPr>
      <w:r>
        <w:rPr>
          <w:b/>
          <w:bCs/>
        </w:rPr>
        <w:t xml:space="preserve">Expense assumptions</w:t>
      </w:r>
      <w:r>
        <w:t xml:space="preserve"> </w:t>
      </w:r>
      <w:r>
        <w:t xml:space="preserve">– operating expenses can reach</w:t>
      </w:r>
      <w:r>
        <w:t xml:space="preserve"> </w:t>
      </w:r>
      <w:r>
        <w:rPr>
          <w:b/>
          <w:bCs/>
        </w:rPr>
        <w:t xml:space="preserve">45 % of gross rent</w:t>
      </w:r>
      <w:r>
        <w:t xml:space="preserve"> </w:t>
      </w:r>
      <w:r>
        <w:t xml:space="preserve">due to higher turnover, furnishings and management. For short‑term rentals, include TOT occupancy taxes and dynamic pricing fees; for co‑living, budget for utilities and cleaning services. Property tax uses residential rate; additional licensing fees may apply.</w:t>
      </w:r>
    </w:p>
    <w:p>
      <w:pPr>
        <w:pStyle w:val="Compact"/>
        <w:numPr>
          <w:ilvl w:val="0"/>
          <w:numId w:val="1007"/>
        </w:numPr>
      </w:pPr>
      <w:r>
        <w:rPr>
          <w:b/>
          <w:bCs/>
        </w:rPr>
        <w:t xml:space="preserve">NOI estimation</w:t>
      </w:r>
      <w:r>
        <w:t xml:space="preserve"> </w:t>
      </w:r>
      <w:r>
        <w:t xml:space="preserve">– estimate gross rent using premium rents per bedroom (co‑living) or per night (short‑term). For example, rooms may rent for 30–50 % above traditional per‑bedroom rent due to furnished, flexible leases. Apply a 50 % occupancy factor for seasonal short‑term rentals or 90 % for co‑living.</w:t>
      </w:r>
    </w:p>
    <w:p>
      <w:pPr>
        <w:pStyle w:val="Compact"/>
        <w:numPr>
          <w:ilvl w:val="0"/>
          <w:numId w:val="1007"/>
        </w:numPr>
      </w:pPr>
      <w:r>
        <w:rPr>
          <w:b/>
          <w:bCs/>
        </w:rPr>
        <w:t xml:space="preserve">Screening for cap‑rate upside</w:t>
      </w:r>
      <w:r>
        <w:t xml:space="preserve"> </w:t>
      </w:r>
      <w:r>
        <w:t xml:space="preserve">– evaluate whether premium rental revenues outweigh higher expenses. Compute pro‑forma NOI and ensure a ≥200 basis‑point spread between pro‑forma cap rate and entry cap rate. Look for properties with multiple bedrooms, flexible layouts or separate entrances to support co‑living or ADU conversion.</w:t>
      </w:r>
    </w:p>
    <w:p>
      <w:pPr>
        <w:pStyle w:val="Compact"/>
        <w:numPr>
          <w:ilvl w:val="0"/>
          <w:numId w:val="1007"/>
        </w:numPr>
      </w:pPr>
      <w:r>
        <w:rPr>
          <w:b/>
          <w:bCs/>
        </w:rPr>
        <w:t xml:space="preserve">Rent growth potential</w:t>
      </w:r>
      <w:r>
        <w:t xml:space="preserve"> </w:t>
      </w:r>
      <w:r>
        <w:t xml:space="preserve">– identify areas near major employers and transport corridors where short‑term housing is in demand. Monitor proposed rent‑control initiatives; a 2026 ballot proposal could cap rent increases to CPI or 5 %</w:t>
      </w:r>
      <w:hyperlink r:id="rId40">
        <w:r>
          <w:rPr>
            <w:rStyle w:val="Hyperlink"/>
          </w:rPr>
          <w:t xml:space="preserve">[15]</w:t>
        </w:r>
      </w:hyperlink>
      <w:r>
        <w:t xml:space="preserve">. Short‑term rental regulations may limit number of days or require registration. Ensure compliance with state rules on security deposits and tenant protections (landlords may require only first and last month’s rent and one month’s deposit</w:t>
      </w:r>
      <w:hyperlink r:id="rId41">
        <w:r>
          <w:rPr>
            <w:rStyle w:val="Hyperlink"/>
          </w:rPr>
          <w:t xml:space="preserve">[16]</w:t>
        </w:r>
      </w:hyperlink>
      <w:r>
        <w:t xml:space="preserve">) and abide by eviction timelines (14 days for nonpayment; 30 days for other causes)</w:t>
      </w:r>
      <w:hyperlink r:id="rId42">
        <w:r>
          <w:rPr>
            <w:rStyle w:val="Hyperlink"/>
          </w:rPr>
          <w:t xml:space="preserve">[17]</w:t>
        </w:r>
      </w:hyperlink>
      <w:r>
        <w:t xml:space="preserve">.</w:t>
      </w:r>
    </w:p>
    <w:p>
      <w:pPr>
        <w:pStyle w:val="Compact"/>
        <w:numPr>
          <w:ilvl w:val="0"/>
          <w:numId w:val="1007"/>
        </w:numPr>
      </w:pPr>
      <w:r>
        <w:rPr>
          <w:b/>
          <w:bCs/>
        </w:rPr>
        <w:t xml:space="preserve">Development optionality</w:t>
      </w:r>
      <w:r>
        <w:t xml:space="preserve"> </w:t>
      </w:r>
      <w:r>
        <w:t xml:space="preserve">– focus on single‑family properties with large basements, garages or carriage houses that can be converted into accessory dwelling units. The new ADU law allows units up to 900 ft² without special permits and prohibits owner‑occupancy requirements</w:t>
      </w:r>
      <w:hyperlink r:id="rId26">
        <w:r>
          <w:rPr>
            <w:rStyle w:val="Hyperlink"/>
          </w:rPr>
          <w:t xml:space="preserve">[5]</w:t>
        </w:r>
      </w:hyperlink>
      <w:r>
        <w:t xml:space="preserve">. This enables creation of mini‑ADU portfolios on multiple properties.</w:t>
      </w:r>
    </w:p>
    <w:bookmarkEnd w:id="43"/>
    <w:bookmarkStart w:id="44" w:name="screening-workflow-summary"/>
    <w:p>
      <w:pPr>
        <w:pStyle w:val="Heading2"/>
      </w:pPr>
      <w:r>
        <w:t xml:space="preserve">Screening Workflow Summary</w:t>
      </w:r>
    </w:p>
    <w:p>
      <w:pPr>
        <w:pStyle w:val="Compact"/>
        <w:numPr>
          <w:ilvl w:val="0"/>
          <w:numId w:val="1008"/>
        </w:numPr>
      </w:pPr>
      <w:r>
        <w:rPr>
          <w:b/>
          <w:bCs/>
        </w:rPr>
        <w:t xml:space="preserve">Compute rent assumptions</w:t>
      </w:r>
      <w:r>
        <w:t xml:space="preserve"> </w:t>
      </w:r>
      <w:r>
        <w:t xml:space="preserve">using median rents by bedroom and property type from external sources and MLS analysis.</w:t>
      </w:r>
    </w:p>
    <w:p>
      <w:pPr>
        <w:pStyle w:val="Compact"/>
        <w:numPr>
          <w:ilvl w:val="0"/>
          <w:numId w:val="1008"/>
        </w:numPr>
      </w:pPr>
      <w:r>
        <w:rPr>
          <w:b/>
          <w:bCs/>
        </w:rPr>
        <w:t xml:space="preserve">Calculate NOI and entry cap rates</w:t>
      </w:r>
      <w:r>
        <w:t xml:space="preserve"> </w:t>
      </w:r>
      <w:r>
        <w:t xml:space="preserve">for each MLS listing using the formulas above and strategy‑specific expense assumptions.</w:t>
      </w:r>
    </w:p>
    <w:p>
      <w:pPr>
        <w:pStyle w:val="Compact"/>
        <w:numPr>
          <w:ilvl w:val="0"/>
          <w:numId w:val="1008"/>
        </w:numPr>
      </w:pPr>
      <w:r>
        <w:rPr>
          <w:b/>
          <w:bCs/>
        </w:rPr>
        <w:t xml:space="preserve">Filter by minimum cap rate thresholds</w:t>
      </w:r>
      <w:r>
        <w:t xml:space="preserve"> </w:t>
      </w:r>
      <w:r>
        <w:t xml:space="preserve">to remove deals below the strategy’s entry criterion.</w:t>
      </w:r>
    </w:p>
    <w:p>
      <w:pPr>
        <w:pStyle w:val="Compact"/>
        <w:numPr>
          <w:ilvl w:val="0"/>
          <w:numId w:val="1008"/>
        </w:numPr>
      </w:pPr>
      <w:r>
        <w:rPr>
          <w:b/>
          <w:bCs/>
        </w:rPr>
        <w:t xml:space="preserve">Evaluate cap‑rate upside</w:t>
      </w:r>
      <w:r>
        <w:t xml:space="preserve"> </w:t>
      </w:r>
      <w:r>
        <w:t xml:space="preserve">by projecting stabilized rents and expenses; require minimum basis‑point improvements.</w:t>
      </w:r>
    </w:p>
    <w:p>
      <w:pPr>
        <w:pStyle w:val="Compact"/>
        <w:numPr>
          <w:ilvl w:val="0"/>
          <w:numId w:val="1008"/>
        </w:numPr>
      </w:pPr>
      <w:r>
        <w:rPr>
          <w:b/>
          <w:bCs/>
        </w:rPr>
        <w:t xml:space="preserve">Assess rent growth potential</w:t>
      </w:r>
      <w:r>
        <w:t xml:space="preserve"> </w:t>
      </w:r>
      <w:r>
        <w:t xml:space="preserve">using neighbourhood‑level trends (price appreciation, days on market, demographic growth, employer proximity).</w:t>
      </w:r>
    </w:p>
    <w:p>
      <w:pPr>
        <w:pStyle w:val="Compact"/>
        <w:numPr>
          <w:ilvl w:val="0"/>
          <w:numId w:val="1008"/>
        </w:numPr>
      </w:pPr>
      <w:r>
        <w:rPr>
          <w:b/>
          <w:bCs/>
        </w:rPr>
        <w:t xml:space="preserve">Check development optionality</w:t>
      </w:r>
      <w:r>
        <w:t xml:space="preserve"> </w:t>
      </w:r>
      <w:r>
        <w:t xml:space="preserve">based on lot size, zoning and potential for additional units or ADUs.</w:t>
      </w:r>
    </w:p>
    <w:p>
      <w:pPr>
        <w:pStyle w:val="Compact"/>
        <w:numPr>
          <w:ilvl w:val="0"/>
          <w:numId w:val="1008"/>
        </w:numPr>
      </w:pPr>
      <w:r>
        <w:rPr>
          <w:b/>
          <w:bCs/>
        </w:rPr>
        <w:t xml:space="preserve">Rank remaining properties</w:t>
      </w:r>
      <w:r>
        <w:t xml:space="preserve"> </w:t>
      </w:r>
      <w:r>
        <w:t xml:space="preserve">by projected risk‑adjusted return for further due diligence.</w:t>
      </w:r>
    </w:p>
    <w:p>
      <w:pPr>
        <w:pStyle w:val="FirstParagraph"/>
      </w:pPr>
      <w:r>
        <w:t xml:space="preserve">These deal selection rules provide a repeatable approach to screening MLS data for real‑estate investment opportunities in Marlborough across multiple strategies, ensuring that potential acquisitions align with targeted cap rates, rent growth prospects and development flexibility while acknowledging regulatory constraints.</w:t>
      </w:r>
    </w:p>
    <w:bookmarkEnd w:id="44"/>
    <w:bookmarkEnd w:id="45"/>
    <w:bookmarkEnd w:id="46"/>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Average Rent in Marlborough, MA: 2026 Rent Prices by Neighborhood</w:t>
      </w:r>
    </w:p>
    <w:p>
      <w:pPr>
        <w:pStyle w:val="BodyText"/>
      </w:pPr>
      <w:hyperlink r:id="rId47">
        <w:r>
          <w:rPr>
            <w:rStyle w:val="Hyperlink"/>
          </w:rPr>
          <w:t xml:space="preserve">https://www.rentcafe.com/average-rent-market-trends/us/ma/marlborough/</w:t>
        </w:r>
      </w:hyperlink>
    </w:p>
    <w:p>
      <w:pPr>
        <w:pStyle w:val="BodyText"/>
      </w:pPr>
      <w:hyperlink r:id="rId22">
        <w:r>
          <w:rPr>
            <w:rStyle w:val="Hyperlink"/>
          </w:rPr>
          <w:t xml:space="preserve">[2]</w:t>
        </w:r>
      </w:hyperlink>
      <w:r>
        <w:t xml:space="preserve"> </w:t>
      </w:r>
      <w:r>
        <w:t xml:space="preserve">Fast Facts &amp; Data - Marlborough Economic Development Corporation</w:t>
      </w:r>
    </w:p>
    <w:p>
      <w:pPr>
        <w:pStyle w:val="BodyText"/>
      </w:pPr>
      <w:hyperlink r:id="rId48">
        <w:r>
          <w:rPr>
            <w:rStyle w:val="Hyperlink"/>
          </w:rPr>
          <w:t xml:space="preserve">https://marlboroughedc.com/fast-facts-data/</w:t>
        </w:r>
      </w:hyperlink>
    </w:p>
    <w:p>
      <w:pPr>
        <w:pStyle w:val="BodyText"/>
      </w:pPr>
      <w:hyperlink r:id="rId24">
        <w:r>
          <w:rPr>
            <w:rStyle w:val="Hyperlink"/>
          </w:rPr>
          <w:t xml:space="preserve">[3]</w:t>
        </w:r>
      </w:hyperlink>
      <w:r>
        <w:t xml:space="preserve"> </w:t>
      </w:r>
      <w:r>
        <w:t xml:space="preserve">Boston Multi-Family Cap Rates 2025: Complete Investor Guide | Signal Real Estate</w:t>
      </w:r>
    </w:p>
    <w:p>
      <w:pPr>
        <w:pStyle w:val="BodyText"/>
      </w:pPr>
      <w:hyperlink r:id="rId49">
        <w:r>
          <w:rPr>
            <w:rStyle w:val="Hyperlink"/>
          </w:rPr>
          <w:t xml:space="preserve">https://www.signalrealestate.com/blog/boston-multi-family-cap-rates-2025-complete-investor-guide/</w:t>
        </w:r>
      </w:hyperlink>
    </w:p>
    <w:p>
      <w:pPr>
        <w:pStyle w:val="BodyText"/>
      </w:pPr>
      <w:hyperlink r:id="rId25">
        <w:r>
          <w:rPr>
            <w:rStyle w:val="Hyperlink"/>
          </w:rPr>
          <w:t xml:space="preserve">[4]</w:t>
        </w:r>
      </w:hyperlink>
      <w:r>
        <w:t xml:space="preserve"> </w:t>
      </w:r>
      <w:r>
        <w:t xml:space="preserve">U.S. Census Bureau QuickFacts: Marlborough city, Massachusetts</w:t>
      </w:r>
    </w:p>
    <w:p>
      <w:pPr>
        <w:pStyle w:val="BodyText"/>
      </w:pPr>
      <w:hyperlink r:id="rId50">
        <w:r>
          <w:rPr>
            <w:rStyle w:val="Hyperlink"/>
          </w:rPr>
          <w:t xml:space="preserve">https://www.census.gov/quickfacts/fact/table/marlboroughcitymassachusetts/RTN131222</w:t>
        </w:r>
      </w:hyperlink>
    </w:p>
    <w:p>
      <w:pPr>
        <w:pStyle w:val="BodyText"/>
      </w:pPr>
      <w:hyperlink r:id="rId26">
        <w:r>
          <w:rPr>
            <w:rStyle w:val="Hyperlink"/>
          </w:rPr>
          <w:t xml:space="preserve">[5]</w:t>
        </w:r>
      </w:hyperlink>
      <w:r>
        <w:t xml:space="preserve"> </w:t>
      </w:r>
      <w:r>
        <w:t xml:space="preserve">Accessory Dwelling Units | Mass.gov</w:t>
      </w:r>
    </w:p>
    <w:p>
      <w:pPr>
        <w:pStyle w:val="BodyText"/>
      </w:pPr>
      <w:hyperlink r:id="rId51">
        <w:r>
          <w:rPr>
            <w:rStyle w:val="Hyperlink"/>
          </w:rPr>
          <w:t xml:space="preserve">https://www.mass.gov/info-details/accessory-dwelling-units</w:t>
        </w:r>
      </w:hyperlink>
    </w:p>
    <w:p>
      <w:pPr>
        <w:pStyle w:val="BodyText"/>
      </w:pPr>
      <w:hyperlink r:id="rId28">
        <w:r>
          <w:rPr>
            <w:rStyle w:val="Hyperlink"/>
          </w:rPr>
          <w:t xml:space="preserve">[6]</w:t>
        </w:r>
      </w:hyperlink>
      <w:r>
        <w:t xml:space="preserve"> </w:t>
      </w:r>
      <w:r>
        <w:t xml:space="preserve">Green District Phases 3 &amp; 4 (Post Road Realty LLC) Mixed-Use Development - Approved | Marlborough, MA</w:t>
      </w:r>
      <w:r>
        <w:t xml:space="preserve"> </w:t>
      </w:r>
    </w:p>
    <w:p>
      <w:pPr>
        <w:pStyle w:val="BodyText"/>
      </w:pPr>
      <w:hyperlink r:id="rId52">
        <w:r>
          <w:rPr>
            <w:rStyle w:val="Hyperlink"/>
          </w:rPr>
          <w:t xml:space="preserve">https://www.marlborough-ma.gov/537/Green-District-Phases-3-4-Post-Road-Real</w:t>
        </w:r>
      </w:hyperlink>
    </w:p>
    <w:p>
      <w:pPr>
        <w:pStyle w:val="BodyText"/>
      </w:pPr>
      <w:hyperlink r:id="rId29">
        <w:r>
          <w:rPr>
            <w:rStyle w:val="Hyperlink"/>
          </w:rPr>
          <w:t xml:space="preserve">[7]</w:t>
        </w:r>
      </w:hyperlink>
      <w:r>
        <w:t xml:space="preserve"> </w:t>
      </w:r>
      <w:hyperlink r:id="rId32">
        <w:r>
          <w:rPr>
            <w:rStyle w:val="Hyperlink"/>
          </w:rPr>
          <w:t xml:space="preserve">[9]</w:t>
        </w:r>
      </w:hyperlink>
      <w:r>
        <w:t xml:space="preserve"> </w:t>
      </w:r>
      <w:hyperlink r:id="rId34">
        <w:r>
          <w:rPr>
            <w:rStyle w:val="Hyperlink"/>
          </w:rPr>
          <w:t xml:space="preserve">[10]</w:t>
        </w:r>
      </w:hyperlink>
      <w:r>
        <w:t xml:space="preserve"> </w:t>
      </w:r>
      <w:r>
        <w:t xml:space="preserve">City of Marlborough, MA Permitted Uses</w:t>
      </w:r>
    </w:p>
    <w:p>
      <w:pPr>
        <w:pStyle w:val="BodyText"/>
      </w:pPr>
      <w:hyperlink r:id="rId53">
        <w:r>
          <w:rPr>
            <w:rStyle w:val="Hyperlink"/>
          </w:rPr>
          <w:t xml:space="preserve">https://ecode360.com/9217014</w:t>
        </w:r>
      </w:hyperlink>
    </w:p>
    <w:p>
      <w:pPr>
        <w:pStyle w:val="BodyText"/>
      </w:pPr>
      <w:hyperlink r:id="rId31">
        <w:r>
          <w:rPr>
            <w:rStyle w:val="Hyperlink"/>
          </w:rPr>
          <w:t xml:space="preserve">[8]</w:t>
        </w:r>
      </w:hyperlink>
      <w:r>
        <w:t xml:space="preserve"> </w:t>
      </w:r>
      <w:hyperlink r:id="rId38">
        <w:r>
          <w:rPr>
            <w:rStyle w:val="Hyperlink"/>
          </w:rPr>
          <w:t xml:space="preserve">[14]</w:t>
        </w:r>
      </w:hyperlink>
      <w:r>
        <w:t xml:space="preserve"> </w:t>
      </w:r>
      <w:r>
        <w:t xml:space="preserve">Life Sciences Hub - Marlborough Economic Development Corporation</w:t>
      </w:r>
    </w:p>
    <w:p>
      <w:pPr>
        <w:pStyle w:val="BodyText"/>
      </w:pPr>
      <w:hyperlink r:id="rId54">
        <w:r>
          <w:rPr>
            <w:rStyle w:val="Hyperlink"/>
          </w:rPr>
          <w:t xml:space="preserve">https://marlboroughedc.com/life-sciences-hub/</w:t>
        </w:r>
      </w:hyperlink>
    </w:p>
    <w:p>
      <w:pPr>
        <w:pStyle w:val="BodyText"/>
      </w:pPr>
      <w:hyperlink r:id="rId35">
        <w:r>
          <w:rPr>
            <w:rStyle w:val="Hyperlink"/>
          </w:rPr>
          <w:t xml:space="preserve">[11]</w:t>
        </w:r>
      </w:hyperlink>
      <w:r>
        <w:t xml:space="preserve"> </w:t>
      </w:r>
      <w:r>
        <w:t xml:space="preserve">Exchange Place (JW Capital Partners, LLC) Mixed Use Project at 57 Main Street - Approved | Marlborough, MA</w:t>
      </w:r>
      <w:r>
        <w:t xml:space="preserve"> </w:t>
      </w:r>
    </w:p>
    <w:p>
      <w:pPr>
        <w:pStyle w:val="BodyText"/>
      </w:pPr>
      <w:hyperlink r:id="rId55">
        <w:r>
          <w:rPr>
            <w:rStyle w:val="Hyperlink"/>
          </w:rPr>
          <w:t xml:space="preserve">https://www.marlborough-ma.gov/539/Exchange-Place-JW-Capital-Partners-LLC-M</w:t>
        </w:r>
      </w:hyperlink>
    </w:p>
    <w:p>
      <w:pPr>
        <w:pStyle w:val="BodyText"/>
      </w:pPr>
      <w:hyperlink r:id="rId36">
        <w:r>
          <w:rPr>
            <w:rStyle w:val="Hyperlink"/>
          </w:rPr>
          <w:t xml:space="preserve">[12]</w:t>
        </w:r>
      </w:hyperlink>
      <w:r>
        <w:t xml:space="preserve"> </w:t>
      </w:r>
      <w:r>
        <w:t xml:space="preserve">WP Marlborough, MA Owner, LLC [Walcott Heritage Farms] Multi-Family Residential Development Project at 339 Boston Post Road East - Approved | Marlborough, MA</w:t>
      </w:r>
      <w:r>
        <w:t xml:space="preserve"> </w:t>
      </w:r>
    </w:p>
    <w:p>
      <w:pPr>
        <w:pStyle w:val="BodyText"/>
      </w:pPr>
      <w:hyperlink r:id="rId56">
        <w:r>
          <w:rPr>
            <w:rStyle w:val="Hyperlink"/>
          </w:rPr>
          <w:t xml:space="preserve">https://www.marlborough-ma.gov/541/WP-Marlborough-MA-Owner-LLC-Walcott-Heri</w:t>
        </w:r>
      </w:hyperlink>
    </w:p>
    <w:p>
      <w:pPr>
        <w:pStyle w:val="BodyText"/>
      </w:pPr>
      <w:hyperlink r:id="rId37">
        <w:r>
          <w:rPr>
            <w:rStyle w:val="Hyperlink"/>
          </w:rPr>
          <w:t xml:space="preserve">[13]</w:t>
        </w:r>
      </w:hyperlink>
      <w:r>
        <w:t xml:space="preserve"> </w:t>
      </w:r>
      <w:r>
        <w:t xml:space="preserve">Marlborough</w:t>
      </w:r>
    </w:p>
    <w:p>
      <w:pPr>
        <w:pStyle w:val="BodyText"/>
      </w:pPr>
      <w:hyperlink r:id="rId57">
        <w:r>
          <w:rPr>
            <w:rStyle w:val="Hyperlink"/>
          </w:rPr>
          <w:t xml:space="preserve">https://marlboroughedc.com/wp-content/uploads/2025/02/495-MetroWest-Partnership-Marlborough-Community-Profile-2024_Reduced-PDF.pdf</w:t>
        </w:r>
      </w:hyperlink>
    </w:p>
    <w:p>
      <w:pPr>
        <w:pStyle w:val="BodyText"/>
      </w:pPr>
      <w:hyperlink r:id="rId40">
        <w:r>
          <w:rPr>
            <w:rStyle w:val="Hyperlink"/>
          </w:rPr>
          <w:t xml:space="preserve">[15]</w:t>
        </w:r>
      </w:hyperlink>
      <w:r>
        <w:t xml:space="preserve"> </w:t>
      </w:r>
      <w:r>
        <w:t xml:space="preserve">download</w:t>
      </w:r>
    </w:p>
    <w:p>
      <w:pPr>
        <w:pStyle w:val="BodyText"/>
      </w:pPr>
      <w:hyperlink r:id="rId58">
        <w:r>
          <w:rPr>
            <w:rStyle w:val="Hyperlink"/>
          </w:rPr>
          <w:t xml:space="preserve">https://www.mass.gov/doc/final-summary-for-25-21-an-initiative-petition-to-protect-tenants-by-limiting-rent-increases/download</w:t>
        </w:r>
      </w:hyperlink>
    </w:p>
    <w:p>
      <w:pPr>
        <w:pStyle w:val="BodyText"/>
      </w:pPr>
      <w:hyperlink r:id="rId41">
        <w:r>
          <w:rPr>
            <w:rStyle w:val="Hyperlink"/>
          </w:rPr>
          <w:t xml:space="preserve">[16]</w:t>
        </w:r>
      </w:hyperlink>
      <w:r>
        <w:t xml:space="preserve"> </w:t>
      </w:r>
      <w:r>
        <w:t xml:space="preserve">Security deposits and last month's rent | Mass.gov</w:t>
      </w:r>
    </w:p>
    <w:p>
      <w:pPr>
        <w:pStyle w:val="BodyText"/>
      </w:pPr>
      <w:hyperlink r:id="rId59">
        <w:r>
          <w:rPr>
            <w:rStyle w:val="Hyperlink"/>
          </w:rPr>
          <w:t xml:space="preserve">https://www.mass.gov/info-details/security-deposits-and-last-months-rent</w:t>
        </w:r>
      </w:hyperlink>
    </w:p>
    <w:p>
      <w:pPr>
        <w:pStyle w:val="BodyText"/>
      </w:pPr>
      <w:hyperlink r:id="rId42">
        <w:r>
          <w:rPr>
            <w:rStyle w:val="Hyperlink"/>
          </w:rPr>
          <w:t xml:space="preserve">[17]</w:t>
        </w:r>
      </w:hyperlink>
      <w:r>
        <w:t xml:space="preserve"> </w:t>
      </w:r>
      <w:r>
        <w:t xml:space="preserve">Tenants' guide to eviction | Mass.gov</w:t>
      </w:r>
    </w:p>
    <w:p>
      <w:pPr>
        <w:pStyle w:val="BodyText"/>
      </w:pPr>
      <w:hyperlink r:id="rId60">
        <w:r>
          <w:rPr>
            <w:rStyle w:val="Hyperlink"/>
          </w:rPr>
          <w:t xml:space="preserve">https://www.mass.gov/info-details/tenants-guide-to-eviction</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s://ecode360.com/9217014" TargetMode="External" /><Relationship Type="http://schemas.openxmlformats.org/officeDocument/2006/relationships/hyperlink" Id="rId34" Target="https://ecode360.com/9217014#:~:text=" TargetMode="External" /><Relationship Type="http://schemas.openxmlformats.org/officeDocument/2006/relationships/hyperlink" Id="rId29" Target="https://ecode360.com/9217014#:~:text=Conversion%20of%20a%20single,accommodate%20two%20families%2C%20provided%20that" TargetMode="External" /><Relationship Type="http://schemas.openxmlformats.org/officeDocument/2006/relationships/hyperlink" Id="rId32" Target="https://ecode360.com/9217014#:~:text=Two%20residential%20structures%20on%20a,subject%20to%20the%20following%20conditions" TargetMode="External" /><Relationship Type="http://schemas.openxmlformats.org/officeDocument/2006/relationships/hyperlink" Id="rId48" Target="https://marlboroughedc.com/fast-facts-data/" TargetMode="External" /><Relationship Type="http://schemas.openxmlformats.org/officeDocument/2006/relationships/hyperlink" Id="rId22" Target="https://marlboroughedc.com/fast-facts-data/#:~:text=Premier%20Companies%3A%20Cytiva%2C%20Boston%20Scientific%2C,DuPont%2C%20Ken%E2%80%99s%20Foods%2C%20Lifeward%2C%20Sartorius" TargetMode="External" /><Relationship Type="http://schemas.openxmlformats.org/officeDocument/2006/relationships/hyperlink" Id="rId54" Target="https://marlboroughedc.com/life-sciences-hub/" TargetMode="External" /><Relationship Type="http://schemas.openxmlformats.org/officeDocument/2006/relationships/hyperlink" Id="rId38" Target="https://marlboroughedc.com/life-sciences-hub/#:~:text=" TargetMode="External" /><Relationship Type="http://schemas.openxmlformats.org/officeDocument/2006/relationships/hyperlink" Id="rId31" Target="https://marlboroughedc.com/life-sciences-hub/#:~:text=Tax%20Increment%20Financing%20,Growth%20in%20Marlborough" TargetMode="External" /><Relationship Type="http://schemas.openxmlformats.org/officeDocument/2006/relationships/hyperlink" Id="rId57" Target="https://marlboroughedc.com/wp-content/uploads/2025/02/495-MetroWest-Partnership-Marlborough-Community-Profile-2024_Reduced-PDF.pdf" TargetMode="External" /><Relationship Type="http://schemas.openxmlformats.org/officeDocument/2006/relationships/hyperlink" Id="rId37" Target="https://marlboroughedc.com/wp-content/uploads/2025/02/495-MetroWest-Partnership-Marlborough-Community-Profile-2024_Reduced-PDF.pdf#:~:text=MARLBOROUGH%2C%20MA%20Population%3A%2041%2C391%20Median,Vacant%20Housing%20Units%3A%20%20892" TargetMode="External" /><Relationship Type="http://schemas.openxmlformats.org/officeDocument/2006/relationships/hyperlink" Id="rId50" Target="https://www.census.gov/quickfacts/fact/table/marlboroughcitymassachusetts/RTN131222" TargetMode="External" /><Relationship Type="http://schemas.openxmlformats.org/officeDocument/2006/relationships/hyperlink" Id="rId25" Target="https://www.census.gov/quickfacts/fact/table/marlboroughcitymassachusetts/RTN131222#:~:text=Median%20households%20income%20,46%2C241%20Persons%20in%20poverty%2C%20percent" TargetMode="External" /><Relationship Type="http://schemas.openxmlformats.org/officeDocument/2006/relationships/hyperlink" Id="rId52" Target="https://www.marlborough-ma.gov/537/Green-District-Phases-3-4-Post-Road-Real" TargetMode="External" /><Relationship Type="http://schemas.openxmlformats.org/officeDocument/2006/relationships/hyperlink" Id="rId28" Target="https://www.marlborough-ma.gov/537/Green-District-Phases-3-4-Post-Road-Real#:~:text=This%20project%20is%20seeking%20a,resident%20amenities%2C%20and%20landscaped%20areas" TargetMode="External" /><Relationship Type="http://schemas.openxmlformats.org/officeDocument/2006/relationships/hyperlink" Id="rId55" Target="https://www.marlborough-ma.gov/539/Exchange-Place-JW-Capital-Partners-LLC-M" TargetMode="External" /><Relationship Type="http://schemas.openxmlformats.org/officeDocument/2006/relationships/hyperlink" Id="rId35" Target="https://www.marlborough-ma.gov/539/Exchange-Place-JW-Capital-Partners-LLC-M#:~:text=This%20project%20is%20seeking%20and,courtyard%20adjacent%20to%20Union%20Common" TargetMode="External" /><Relationship Type="http://schemas.openxmlformats.org/officeDocument/2006/relationships/hyperlink" Id="rId56" Target="https://www.marlborough-ma.gov/541/WP-Marlborough-MA-Owner-LLC-Walcott-Heri" TargetMode="External" /><Relationship Type="http://schemas.openxmlformats.org/officeDocument/2006/relationships/hyperlink" Id="rId36" Target="https://www.marlborough-ma.gov/541/WP-Marlborough-MA-Owner-LLC-Walcott-Heri#:~:text=This%20project%20is%20seeking%20a,7%20acres" TargetMode="External" /><Relationship Type="http://schemas.openxmlformats.org/officeDocument/2006/relationships/hyperlink" Id="rId58" Target="https://www.mass.gov/doc/final-summary-for-25-21-an-initiative-petition-to-protect-tenants-by-limiting-rent-increases/download" TargetMode="External" /><Relationship Type="http://schemas.openxmlformats.org/officeDocument/2006/relationships/hyperlink" Id="rId40"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51" Target="https://www.mass.gov/info-details/accessory-dwelling-units" TargetMode="External" /><Relationship Type="http://schemas.openxmlformats.org/officeDocument/2006/relationships/hyperlink" Id="rId26" Target="https://www.mass.gov/info-details/accessory-dwelling-units#:~:text=On%20Aug,will%20make%20a%20big%20difference" TargetMode="External" /><Relationship Type="http://schemas.openxmlformats.org/officeDocument/2006/relationships/hyperlink" Id="rId59" Target="https://www.mass.gov/info-details/security-deposits-and-last-months-rent" TargetMode="External" /><Relationship Type="http://schemas.openxmlformats.org/officeDocument/2006/relationships/hyperlink" Id="rId41" Target="https://www.mass.gov/info-details/security-deposits-and-last-months-rent#:~:text=Landlords%20are%C2%A0allowed%20to%20collect%20the,for%20a%20lock%20and%20key" TargetMode="External" /><Relationship Type="http://schemas.openxmlformats.org/officeDocument/2006/relationships/hyperlink" Id="rId60" Target="https://www.mass.gov/info-details/tenants-guide-to-eviction" TargetMode="External" /><Relationship Type="http://schemas.openxmlformats.org/officeDocument/2006/relationships/hyperlink" Id="rId42" Target="https://www.mass.gov/info-details/tenants-guide-to-eviction#:~:text=,you%20need%20to%20leave%20immediately" TargetMode="External" /><Relationship Type="http://schemas.openxmlformats.org/officeDocument/2006/relationships/hyperlink" Id="rId47"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 Type="http://schemas.openxmlformats.org/officeDocument/2006/relationships/hyperlink" Id="rId49" Target="https://www.signalrealestate.com/blog/boston-multi-family-cap-rates-2025-complete-investor-guide/" TargetMode="External" /><Relationship Type="http://schemas.openxmlformats.org/officeDocument/2006/relationships/hyperlink" Id="rId24" Target="https://www.signalrealestate.com/blog/boston-multi-family-cap-rates-2025-complete-investor-guide/#:~:text=,7.5" TargetMode="External" /></Relationships>
</file>

<file path=word/_rels/footnotes.xml.rels><?xml version="1.0" encoding="UTF-8"?><Relationships xmlns="http://schemas.openxmlformats.org/package/2006/relationships"><Relationship Type="http://schemas.openxmlformats.org/officeDocument/2006/relationships/hyperlink" Id="rId53" Target="https://ecode360.com/9217014" TargetMode="External" /><Relationship Type="http://schemas.openxmlformats.org/officeDocument/2006/relationships/hyperlink" Id="rId34" Target="https://ecode360.com/9217014#:~:text=" TargetMode="External" /><Relationship Type="http://schemas.openxmlformats.org/officeDocument/2006/relationships/hyperlink" Id="rId29" Target="https://ecode360.com/9217014#:~:text=Conversion%20of%20a%20single,accommodate%20two%20families%2C%20provided%20that" TargetMode="External" /><Relationship Type="http://schemas.openxmlformats.org/officeDocument/2006/relationships/hyperlink" Id="rId32" Target="https://ecode360.com/9217014#:~:text=Two%20residential%20structures%20on%20a,subject%20to%20the%20following%20conditions" TargetMode="External" /><Relationship Type="http://schemas.openxmlformats.org/officeDocument/2006/relationships/hyperlink" Id="rId48" Target="https://marlboroughedc.com/fast-facts-data/" TargetMode="External" /><Relationship Type="http://schemas.openxmlformats.org/officeDocument/2006/relationships/hyperlink" Id="rId22" Target="https://marlboroughedc.com/fast-facts-data/#:~:text=Premier%20Companies%3A%20Cytiva%2C%20Boston%20Scientific%2C,DuPont%2C%20Ken%E2%80%99s%20Foods%2C%20Lifeward%2C%20Sartorius" TargetMode="External" /><Relationship Type="http://schemas.openxmlformats.org/officeDocument/2006/relationships/hyperlink" Id="rId54" Target="https://marlboroughedc.com/life-sciences-hub/" TargetMode="External" /><Relationship Type="http://schemas.openxmlformats.org/officeDocument/2006/relationships/hyperlink" Id="rId38" Target="https://marlboroughedc.com/life-sciences-hub/#:~:text=" TargetMode="External" /><Relationship Type="http://schemas.openxmlformats.org/officeDocument/2006/relationships/hyperlink" Id="rId31" Target="https://marlboroughedc.com/life-sciences-hub/#:~:text=Tax%20Increment%20Financing%20,Growth%20in%20Marlborough" TargetMode="External" /><Relationship Type="http://schemas.openxmlformats.org/officeDocument/2006/relationships/hyperlink" Id="rId57" Target="https://marlboroughedc.com/wp-content/uploads/2025/02/495-MetroWest-Partnership-Marlborough-Community-Profile-2024_Reduced-PDF.pdf" TargetMode="External" /><Relationship Type="http://schemas.openxmlformats.org/officeDocument/2006/relationships/hyperlink" Id="rId37" Target="https://marlboroughedc.com/wp-content/uploads/2025/02/495-MetroWest-Partnership-Marlborough-Community-Profile-2024_Reduced-PDF.pdf#:~:text=MARLBOROUGH%2C%20MA%20Population%3A%2041%2C391%20Median,Vacant%20Housing%20Units%3A%20%20892" TargetMode="External" /><Relationship Type="http://schemas.openxmlformats.org/officeDocument/2006/relationships/hyperlink" Id="rId50" Target="https://www.census.gov/quickfacts/fact/table/marlboroughcitymassachusetts/RTN131222" TargetMode="External" /><Relationship Type="http://schemas.openxmlformats.org/officeDocument/2006/relationships/hyperlink" Id="rId25" Target="https://www.census.gov/quickfacts/fact/table/marlboroughcitymassachusetts/RTN131222#:~:text=Median%20households%20income%20,46%2C241%20Persons%20in%20poverty%2C%20percent" TargetMode="External" /><Relationship Type="http://schemas.openxmlformats.org/officeDocument/2006/relationships/hyperlink" Id="rId52" Target="https://www.marlborough-ma.gov/537/Green-District-Phases-3-4-Post-Road-Real" TargetMode="External" /><Relationship Type="http://schemas.openxmlformats.org/officeDocument/2006/relationships/hyperlink" Id="rId28" Target="https://www.marlborough-ma.gov/537/Green-District-Phases-3-4-Post-Road-Real#:~:text=This%20project%20is%20seeking%20a,resident%20amenities%2C%20and%20landscaped%20areas" TargetMode="External" /><Relationship Type="http://schemas.openxmlformats.org/officeDocument/2006/relationships/hyperlink" Id="rId55" Target="https://www.marlborough-ma.gov/539/Exchange-Place-JW-Capital-Partners-LLC-M" TargetMode="External" /><Relationship Type="http://schemas.openxmlformats.org/officeDocument/2006/relationships/hyperlink" Id="rId35" Target="https://www.marlborough-ma.gov/539/Exchange-Place-JW-Capital-Partners-LLC-M#:~:text=This%20project%20is%20seeking%20and,courtyard%20adjacent%20to%20Union%20Common" TargetMode="External" /><Relationship Type="http://schemas.openxmlformats.org/officeDocument/2006/relationships/hyperlink" Id="rId56" Target="https://www.marlborough-ma.gov/541/WP-Marlborough-MA-Owner-LLC-Walcott-Heri" TargetMode="External" /><Relationship Type="http://schemas.openxmlformats.org/officeDocument/2006/relationships/hyperlink" Id="rId36" Target="https://www.marlborough-ma.gov/541/WP-Marlborough-MA-Owner-LLC-Walcott-Heri#:~:text=This%20project%20is%20seeking%20a,7%20acres" TargetMode="External" /><Relationship Type="http://schemas.openxmlformats.org/officeDocument/2006/relationships/hyperlink" Id="rId58" Target="https://www.mass.gov/doc/final-summary-for-25-21-an-initiative-petition-to-protect-tenants-by-limiting-rent-increases/download" TargetMode="External" /><Relationship Type="http://schemas.openxmlformats.org/officeDocument/2006/relationships/hyperlink" Id="rId40" Target="https://www.mass.gov/doc/final-summary-for-25-21-an-initiative-petition-to-protect-tenants-by-limiting-rent-increases/download#:~:text=This%20proposed%20law%20would%20limit,a%20violation%20of%20the%20state" TargetMode="External" /><Relationship Type="http://schemas.openxmlformats.org/officeDocument/2006/relationships/hyperlink" Id="rId51" Target="https://www.mass.gov/info-details/accessory-dwelling-units" TargetMode="External" /><Relationship Type="http://schemas.openxmlformats.org/officeDocument/2006/relationships/hyperlink" Id="rId26" Target="https://www.mass.gov/info-details/accessory-dwelling-units#:~:text=On%20Aug,will%20make%20a%20big%20difference" TargetMode="External" /><Relationship Type="http://schemas.openxmlformats.org/officeDocument/2006/relationships/hyperlink" Id="rId59" Target="https://www.mass.gov/info-details/security-deposits-and-last-months-rent" TargetMode="External" /><Relationship Type="http://schemas.openxmlformats.org/officeDocument/2006/relationships/hyperlink" Id="rId41" Target="https://www.mass.gov/info-details/security-deposits-and-last-months-rent#:~:text=Landlords%20are%C2%A0allowed%20to%20collect%20the,for%20a%20lock%20and%20key" TargetMode="External" /><Relationship Type="http://schemas.openxmlformats.org/officeDocument/2006/relationships/hyperlink" Id="rId60" Target="https://www.mass.gov/info-details/tenants-guide-to-eviction" TargetMode="External" /><Relationship Type="http://schemas.openxmlformats.org/officeDocument/2006/relationships/hyperlink" Id="rId42" Target="https://www.mass.gov/info-details/tenants-guide-to-eviction#:~:text=,you%20need%20to%20leave%20immediately" TargetMode="External" /><Relationship Type="http://schemas.openxmlformats.org/officeDocument/2006/relationships/hyperlink" Id="rId47" Target="https://www.rentcafe.com/average-rent-market-trends/us/ma/marlborough/" TargetMode="External" /><Relationship Type="http://schemas.openxmlformats.org/officeDocument/2006/relationships/hyperlink" Id="rId21" Target="https://www.rentcafe.com/average-rent-market-trends/us/ma/marlborough/#:~:text=The%20average%20rent%20for%20an,the%20average%20rent%20was%20%242%2C456" TargetMode="External" /><Relationship Type="http://schemas.openxmlformats.org/officeDocument/2006/relationships/hyperlink" Id="rId49" Target="https://www.signalrealestate.com/blog/boston-multi-family-cap-rates-2025-complete-investor-guide/" TargetMode="External" /><Relationship Type="http://schemas.openxmlformats.org/officeDocument/2006/relationships/hyperlink" Id="rId24" Target="https://www.signalrealestate.com/blog/boston-multi-family-cap-rates-2025-complete-investor-guide/#:~:text=,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2026-02-02T23:59:43Z</dcterms:created>
  <dcterms:modified xsi:type="dcterms:W3CDTF">2026-02-02T23:59:43Z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