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7" w:name="content"/>
    <w:bookmarkStart w:id="36" w:name="Xda7f9fad3901109af33bf9f4858f2d5716ee621"/>
    <w:p>
      <w:pPr>
        <w:pStyle w:val="Heading1"/>
      </w:pPr>
      <w:r>
        <w:t xml:space="preserve">Cap Rate Sensitivity Analysis for Marlborough, Massachusetts</w:t>
      </w:r>
    </w:p>
    <w:p>
      <w:pPr>
        <w:pStyle w:val="FirstParagraph"/>
      </w:pPr>
      <w:r>
        <w:t xml:space="preserve">This analysis estimates</w:t>
      </w:r>
      <w:r>
        <w:t xml:space="preserve"> </w:t>
      </w:r>
      <w:r>
        <w:rPr>
          <w:i/>
          <w:iCs/>
        </w:rPr>
        <w:t xml:space="preserve">entry cap rates</w:t>
      </w:r>
      <w:r>
        <w:t xml:space="preserve"> </w:t>
      </w:r>
      <w:r>
        <w:t xml:space="preserve">for single‑family rentals (SF), condos (CC) and small multi‑family (MF) properties using the cleaned MLS dataset (2019–2026) and the rental and expense assumptions defined earlier. Cap rate is calculated as</w:t>
      </w:r>
      <w:r>
        <w:t xml:space="preserve"> </w:t>
      </w:r>
      <w:r>
        <w:rPr>
          <w:b/>
          <w:bCs/>
        </w:rPr>
        <w:t xml:space="preserve">NOI / purchase price</w:t>
      </w:r>
      <w:r>
        <w:t xml:space="preserve">, where net operating income (NOI) equals gross potential rent × 95 % occupancy minus operating expenses and property tax. We apply</w:t>
      </w:r>
      <w:r>
        <w:t xml:space="preserve"> </w:t>
      </w:r>
      <w:r>
        <w:rPr>
          <w:b/>
          <w:bCs/>
        </w:rPr>
        <w:t xml:space="preserve">moderate rent assumptions</w:t>
      </w:r>
      <w:r>
        <w:t xml:space="preserve"> </w:t>
      </w:r>
      <w:r>
        <w:t xml:space="preserve">(e.g., ~$2.36 k per month for a one‑bedroom; $2.69 k for a two‑bedroom</w:t>
      </w:r>
      <w:hyperlink r:id="rId21">
        <w:r>
          <w:rPr>
            <w:rStyle w:val="Hyperlink"/>
          </w:rPr>
          <w:t xml:space="preserve">[1]</w:t>
        </w:r>
      </w:hyperlink>
      <w:r>
        <w:t xml:space="preserve">), a</w:t>
      </w:r>
      <w:r>
        <w:t xml:space="preserve"> </w:t>
      </w:r>
      <w:r>
        <w:rPr>
          <w:b/>
          <w:bCs/>
        </w:rPr>
        <w:t xml:space="preserve">30 % operating expense ratio</w:t>
      </w:r>
      <w:r>
        <w:t xml:space="preserve"> </w:t>
      </w:r>
      <w:r>
        <w:t xml:space="preserve">for SF and condos,</w:t>
      </w:r>
      <w:r>
        <w:t xml:space="preserve"> </w:t>
      </w:r>
      <w:r>
        <w:rPr>
          <w:b/>
          <w:bCs/>
        </w:rPr>
        <w:t xml:space="preserve">40 % for multi‑family</w:t>
      </w:r>
      <w:r>
        <w:t xml:space="preserve">, and</w:t>
      </w:r>
      <w:r>
        <w:t xml:space="preserve"> </w:t>
      </w:r>
      <w:r>
        <w:rPr>
          <w:b/>
          <w:bCs/>
        </w:rPr>
        <w:t xml:space="preserve">Marlborough’s FY 2025 residential and commercial tax rates</w:t>
      </w:r>
      <w:r>
        <w:t xml:space="preserve"> </w:t>
      </w:r>
      <w:r>
        <w:t xml:space="preserve">(9.86 per $1,000 for SF/CC; 16.96 per $1,000 for MF)</w:t>
      </w:r>
      <w:hyperlink r:id="rId22">
        <w:r>
          <w:rPr>
            <w:rStyle w:val="Hyperlink"/>
          </w:rPr>
          <w:t xml:space="preserve">[2]</w:t>
        </w:r>
      </w:hyperlink>
      <w:r>
        <w:t xml:space="preserve">. These are entry cap rates based on current rents and list prices; they do not account for value‑add or redevelopment potential.</w:t>
      </w:r>
    </w:p>
    <w:bookmarkStart w:id="24" w:name="caprate-ranges-by-property-type"/>
    <w:p>
      <w:pPr>
        <w:pStyle w:val="Heading2"/>
      </w:pPr>
      <w:r>
        <w:t xml:space="preserve">Cap‑Rate Ranges by Property Type</w:t>
      </w:r>
    </w:p>
    <w:p>
      <w:pPr>
        <w:pStyle w:val="FirstParagraph"/>
      </w:pPr>
      <w:r>
        <w:t xml:space="preserve">The table below summarises the distribution of estimated entry cap rates across all sale listings (not just active) for each property type. Quartiles illustrate the realistic range of cap rates investors can expect in Marlborough.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Property type</w:t>
            </w:r>
          </w:p>
        </w:tc>
        <w:tc>
          <w:tcPr/>
          <w:p>
            <w:pPr>
              <w:pStyle w:val="Compact"/>
              <w:jc w:val="right"/>
            </w:pPr>
            <w:r>
              <w:t xml:space="preserve">Count</w:t>
            </w:r>
          </w:p>
        </w:tc>
        <w:tc>
          <w:tcPr/>
          <w:p>
            <w:pPr>
              <w:pStyle w:val="Compact"/>
              <w:jc w:val="right"/>
            </w:pPr>
            <w:r>
              <w:t xml:space="preserve">Mean cap rate</w:t>
            </w:r>
          </w:p>
        </w:tc>
        <w:tc>
          <w:tcPr/>
          <w:p>
            <w:pPr>
              <w:pStyle w:val="Compact"/>
              <w:jc w:val="right"/>
            </w:pPr>
            <w:r>
              <w:t xml:space="preserve">25th percentile</w:t>
            </w:r>
          </w:p>
        </w:tc>
        <w:tc>
          <w:tcPr/>
          <w:p>
            <w:pPr>
              <w:pStyle w:val="Compact"/>
              <w:jc w:val="right"/>
            </w:pPr>
            <w:r>
              <w:rPr>
                <w:b/>
                <w:bCs/>
              </w:rPr>
              <w:t xml:space="preserve">Median (50th %)</w:t>
            </w:r>
          </w:p>
        </w:tc>
        <w:tc>
          <w:tcPr/>
          <w:p>
            <w:pPr>
              <w:pStyle w:val="Compact"/>
              <w:jc w:val="right"/>
            </w:pPr>
            <w:r>
              <w:t xml:space="preserve">75th percentile</w:t>
            </w:r>
          </w:p>
        </w:tc>
        <w:tc>
          <w:tcPr/>
          <w:p>
            <w:pPr>
              <w:pStyle w:val="Compact"/>
              <w:jc w:val="right"/>
            </w:pPr>
            <w:r>
              <w:t xml:space="preserve">Max</w:t>
            </w:r>
          </w:p>
        </w:tc>
        <w:tc>
          <w:tcPr/>
          <w:p>
            <w:pPr>
              <w:pStyle w:val="Compact"/>
            </w:pPr>
            <w:r>
              <w:t xml:space="preserve">Notes</w:t>
            </w:r>
          </w:p>
        </w:tc>
      </w:tr>
      <w:tr>
        <w:tc>
          <w:tcPr/>
          <w:p>
            <w:pPr>
              <w:pStyle w:val="Compact"/>
            </w:pPr>
            <w:r>
              <w:rPr>
                <w:b/>
                <w:bCs/>
              </w:rPr>
              <w:t xml:space="preserve">Single‑family (SF)</w:t>
            </w:r>
          </w:p>
        </w:tc>
        <w:tc>
          <w:tcPr/>
          <w:p>
            <w:pPr>
              <w:pStyle w:val="Compact"/>
              <w:jc w:val="right"/>
            </w:pPr>
            <w:r>
              <w:t xml:space="preserve">2,303</w:t>
            </w:r>
          </w:p>
        </w:tc>
        <w:tc>
          <w:tcPr/>
          <w:p>
            <w:pPr>
              <w:pStyle w:val="Compact"/>
              <w:jc w:val="right"/>
            </w:pPr>
            <w:r>
              <w:rPr>
                <w:b/>
                <w:bCs/>
              </w:rPr>
              <w:t xml:space="preserve">5.27 %</w:t>
            </w:r>
          </w:p>
        </w:tc>
        <w:tc>
          <w:tcPr/>
          <w:p>
            <w:pPr>
              <w:pStyle w:val="Compact"/>
              <w:jc w:val="right"/>
            </w:pPr>
            <w:r>
              <w:t xml:space="preserve">4.08 %</w:t>
            </w:r>
          </w:p>
        </w:tc>
        <w:tc>
          <w:tcPr/>
          <w:p>
            <w:pPr>
              <w:pStyle w:val="Compact"/>
              <w:jc w:val="right"/>
            </w:pPr>
            <w:r>
              <w:rPr>
                <w:b/>
                <w:bCs/>
              </w:rPr>
              <w:t xml:space="preserve">4.95 %</w:t>
            </w:r>
          </w:p>
        </w:tc>
        <w:tc>
          <w:tcPr/>
          <w:p>
            <w:pPr>
              <w:pStyle w:val="Compact"/>
              <w:jc w:val="right"/>
            </w:pPr>
            <w:r>
              <w:rPr>
                <w:b/>
                <w:bCs/>
              </w:rPr>
              <w:t xml:space="preserve">6.05 %</w:t>
            </w:r>
          </w:p>
        </w:tc>
        <w:tc>
          <w:tcPr/>
          <w:p>
            <w:pPr>
              <w:pStyle w:val="Compact"/>
              <w:jc w:val="right"/>
            </w:pPr>
            <w:r>
              <w:t xml:space="preserve">20.1 %</w:t>
            </w:r>
          </w:p>
        </w:tc>
        <w:tc>
          <w:tcPr/>
          <w:p>
            <w:pPr>
              <w:pStyle w:val="Compact"/>
            </w:pPr>
            <w:r>
              <w:t xml:space="preserve">Cap rates cluster around 5 %, reflecting high home values and moderate rents. Some outliers show high caps due to low price or high rents.</w:t>
            </w:r>
          </w:p>
        </w:tc>
      </w:tr>
      <w:tr>
        <w:tc>
          <w:tcPr/>
          <w:p>
            <w:pPr>
              <w:pStyle w:val="Compact"/>
            </w:pPr>
            <w:r>
              <w:rPr>
                <w:b/>
                <w:bCs/>
              </w:rPr>
              <w:t xml:space="preserve">Condos (CC)</w:t>
            </w:r>
          </w:p>
        </w:tc>
        <w:tc>
          <w:tcPr/>
          <w:p>
            <w:pPr>
              <w:pStyle w:val="Compact"/>
              <w:jc w:val="right"/>
            </w:pPr>
            <w:r>
              <w:t xml:space="preserve">578</w:t>
            </w:r>
          </w:p>
        </w:tc>
        <w:tc>
          <w:tcPr/>
          <w:p>
            <w:pPr>
              <w:pStyle w:val="Compact"/>
              <w:jc w:val="right"/>
            </w:pPr>
            <w:r>
              <w:rPr>
                <w:b/>
                <w:bCs/>
              </w:rPr>
              <w:t xml:space="preserve">5.66 %</w:t>
            </w:r>
          </w:p>
        </w:tc>
        <w:tc>
          <w:tcPr/>
          <w:p>
            <w:pPr>
              <w:pStyle w:val="Compact"/>
              <w:jc w:val="right"/>
            </w:pPr>
            <w:r>
              <w:t xml:space="preserve">3.78 %</w:t>
            </w:r>
          </w:p>
        </w:tc>
        <w:tc>
          <w:tcPr/>
          <w:p>
            <w:pPr>
              <w:pStyle w:val="Compact"/>
              <w:jc w:val="right"/>
            </w:pPr>
            <w:r>
              <w:rPr>
                <w:b/>
                <w:bCs/>
              </w:rPr>
              <w:t xml:space="preserve">5.05 %</w:t>
            </w:r>
          </w:p>
        </w:tc>
        <w:tc>
          <w:tcPr/>
          <w:p>
            <w:pPr>
              <w:pStyle w:val="Compact"/>
              <w:jc w:val="right"/>
            </w:pPr>
            <w:r>
              <w:rPr>
                <w:b/>
                <w:bCs/>
              </w:rPr>
              <w:t xml:space="preserve">7.23 %</w:t>
            </w:r>
          </w:p>
        </w:tc>
        <w:tc>
          <w:tcPr/>
          <w:p>
            <w:pPr>
              <w:pStyle w:val="Compact"/>
              <w:jc w:val="right"/>
            </w:pPr>
            <w:r>
              <w:t xml:space="preserve">13.5 %</w:t>
            </w:r>
          </w:p>
        </w:tc>
        <w:tc>
          <w:tcPr/>
          <w:p>
            <w:pPr>
              <w:pStyle w:val="Compact"/>
            </w:pPr>
            <w:r>
              <w:t xml:space="preserve">Condos offer slightly higher yields; older units priced below the median can produce cap rates above 7 %.</w:t>
            </w:r>
          </w:p>
        </w:tc>
      </w:tr>
      <w:tr>
        <w:tc>
          <w:tcPr/>
          <w:p>
            <w:pPr>
              <w:pStyle w:val="Compact"/>
            </w:pPr>
            <w:r>
              <w:rPr>
                <w:b/>
                <w:bCs/>
              </w:rPr>
              <w:t xml:space="preserve">Small multi‑family (MF)</w:t>
            </w:r>
          </w:p>
        </w:tc>
        <w:tc>
          <w:tcPr/>
          <w:p>
            <w:pPr>
              <w:pStyle w:val="Compact"/>
              <w:jc w:val="right"/>
            </w:pPr>
            <w:r>
              <w:t xml:space="preserve">263</w:t>
            </w:r>
          </w:p>
        </w:tc>
        <w:tc>
          <w:tcPr/>
          <w:p>
            <w:pPr>
              <w:pStyle w:val="Compact"/>
              <w:jc w:val="right"/>
            </w:pPr>
            <w:r>
              <w:rPr>
                <w:b/>
                <w:bCs/>
              </w:rPr>
              <w:t xml:space="preserve">4.43 %</w:t>
            </w:r>
          </w:p>
        </w:tc>
        <w:tc>
          <w:tcPr/>
          <w:p>
            <w:pPr>
              <w:pStyle w:val="Compact"/>
              <w:jc w:val="right"/>
            </w:pPr>
            <w:r>
              <w:t xml:space="preserve">3.10 %</w:t>
            </w:r>
          </w:p>
        </w:tc>
        <w:tc>
          <w:tcPr/>
          <w:p>
            <w:pPr>
              <w:pStyle w:val="Compact"/>
              <w:jc w:val="right"/>
            </w:pPr>
            <w:r>
              <w:rPr>
                <w:b/>
                <w:bCs/>
              </w:rPr>
              <w:t xml:space="preserve">4.62 %</w:t>
            </w:r>
          </w:p>
        </w:tc>
        <w:tc>
          <w:tcPr/>
          <w:p>
            <w:pPr>
              <w:pStyle w:val="Compact"/>
              <w:jc w:val="right"/>
            </w:pPr>
            <w:r>
              <w:rPr>
                <w:b/>
                <w:bCs/>
              </w:rPr>
              <w:t xml:space="preserve">5.82 %</w:t>
            </w:r>
          </w:p>
        </w:tc>
        <w:tc>
          <w:tcPr/>
          <w:p>
            <w:pPr>
              <w:pStyle w:val="Compact"/>
              <w:jc w:val="right"/>
            </w:pPr>
            <w:r>
              <w:t xml:space="preserve">13.3 %</w:t>
            </w:r>
          </w:p>
        </w:tc>
        <w:tc>
          <w:tcPr/>
          <w:p>
            <w:pPr>
              <w:pStyle w:val="Compact"/>
            </w:pPr>
            <w:r>
              <w:t xml:space="preserve">Multi‑family yields are suppressed by high purchase prices and commercial tax rate. Many older buildings have low rental income relative to value.</w:t>
            </w:r>
          </w:p>
        </w:tc>
      </w:tr>
    </w:tbl>
    <w:p>
      <w:pPr>
        <w:pStyle w:val="BodyText"/>
      </w:pPr>
      <w:r>
        <w:rPr>
          <w:b/>
          <w:bCs/>
        </w:rPr>
        <w:t xml:space="preserve">Interpretation:</w:t>
      </w:r>
      <w:r>
        <w:t xml:space="preserve"> </w:t>
      </w:r>
      <w:r>
        <w:t xml:space="preserve">Single‑family and condo cap rates generally fall between</w:t>
      </w:r>
      <w:r>
        <w:t xml:space="preserve"> </w:t>
      </w:r>
      <w:r>
        <w:rPr>
          <w:b/>
          <w:bCs/>
        </w:rPr>
        <w:t xml:space="preserve">4 % and 6 %</w:t>
      </w:r>
      <w:r>
        <w:t xml:space="preserve">, while small multi‑family cap rates are lower (3–5.8 %) because most properties have high valuations and limited rent upside. These ranges are higher than downtown Boston’s Class A multifamily cap rates (4.8–5.5 %) but comparable to Boston Class B (5.5–6.5 %)</w:t>
      </w:r>
      <w:hyperlink r:id="rId23">
        <w:r>
          <w:rPr>
            <w:rStyle w:val="Hyperlink"/>
          </w:rPr>
          <w:t xml:space="preserve">[3]</w:t>
        </w:r>
      </w:hyperlink>
      <w:r>
        <w:t xml:space="preserve">. Marlborough thus offers slightly higher yields than the urban core but not as high as cash‑flow markets in the Midwest.</w:t>
      </w:r>
    </w:p>
    <w:bookmarkEnd w:id="24"/>
    <w:bookmarkStart w:id="28" w:name="Xe153c93868bc9c09d625d8cadc7a768fb1bfef1"/>
    <w:p>
      <w:pPr>
        <w:pStyle w:val="Heading2"/>
      </w:pPr>
      <w:r>
        <w:t xml:space="preserve">How Many Properties Qualify at Different Cap‑Rate Thresholds</w:t>
      </w:r>
    </w:p>
    <w:bookmarkStart w:id="25" w:name="across-all-mls-sale-listings-20192026"/>
    <w:p>
      <w:pPr>
        <w:pStyle w:val="Heading3"/>
      </w:pPr>
      <w:r>
        <w:t xml:space="preserve">Across all MLS sale listings (2019–2026)</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Threshold category</w:t>
            </w:r>
          </w:p>
        </w:tc>
        <w:tc>
          <w:tcPr/>
          <w:p>
            <w:pPr>
              <w:pStyle w:val="Compact"/>
            </w:pPr>
            <w:r>
              <w:t xml:space="preserve">Minimum cap rate</w:t>
            </w:r>
          </w:p>
        </w:tc>
        <w:tc>
          <w:tcPr/>
          <w:p>
            <w:pPr>
              <w:pStyle w:val="Compact"/>
              <w:jc w:val="right"/>
            </w:pPr>
            <w:r>
              <w:t xml:space="preserve">SF properties meeting threshold</w:t>
            </w:r>
          </w:p>
        </w:tc>
        <w:tc>
          <w:tcPr/>
          <w:p>
            <w:pPr>
              <w:pStyle w:val="Compact"/>
              <w:jc w:val="right"/>
            </w:pPr>
            <w:r>
              <w:t xml:space="preserve">CC properties meeting threshold</w:t>
            </w:r>
          </w:p>
        </w:tc>
        <w:tc>
          <w:tcPr/>
          <w:p>
            <w:pPr>
              <w:pStyle w:val="Compact"/>
              <w:jc w:val="right"/>
            </w:pPr>
            <w:r>
              <w:t xml:space="preserve">MF properties meeting threshold</w:t>
            </w:r>
          </w:p>
        </w:tc>
      </w:tr>
      <w:tr>
        <w:tc>
          <w:tcPr/>
          <w:p>
            <w:pPr>
              <w:pStyle w:val="Compact"/>
            </w:pPr>
            <w:r>
              <w:rPr>
                <w:b/>
                <w:bCs/>
              </w:rPr>
              <w:t xml:space="preserve">Conservative</w:t>
            </w:r>
            <w:r>
              <w:t xml:space="preserve"> </w:t>
            </w:r>
            <w:r>
              <w:t xml:space="preserve">(income‑oriented)</w:t>
            </w:r>
          </w:p>
        </w:tc>
        <w:tc>
          <w:tcPr/>
          <w:p>
            <w:pPr>
              <w:pStyle w:val="Compact"/>
            </w:pPr>
            <w:r>
              <w:t xml:space="preserve">≥ 5 % (SF/CC), ≥ 5.5 % (MF)</w:t>
            </w:r>
          </w:p>
        </w:tc>
        <w:tc>
          <w:tcPr/>
          <w:p>
            <w:pPr>
              <w:pStyle w:val="Compact"/>
              <w:jc w:val="right"/>
            </w:pPr>
            <w:r>
              <w:rPr>
                <w:b/>
                <w:bCs/>
              </w:rPr>
              <w:t xml:space="preserve">1,120 / 2,303</w:t>
            </w:r>
          </w:p>
        </w:tc>
        <w:tc>
          <w:tcPr/>
          <w:p>
            <w:pPr>
              <w:pStyle w:val="Compact"/>
              <w:jc w:val="right"/>
            </w:pPr>
            <w:r>
              <w:rPr>
                <w:b/>
                <w:bCs/>
              </w:rPr>
              <w:t xml:space="preserve">292 / 578</w:t>
            </w:r>
          </w:p>
        </w:tc>
        <w:tc>
          <w:tcPr/>
          <w:p>
            <w:pPr>
              <w:pStyle w:val="Compact"/>
              <w:jc w:val="right"/>
            </w:pPr>
            <w:r>
              <w:rPr>
                <w:b/>
                <w:bCs/>
              </w:rPr>
              <w:t xml:space="preserve">79 / 263</w:t>
            </w:r>
          </w:p>
        </w:tc>
      </w:tr>
      <w:tr>
        <w:tc>
          <w:tcPr/>
          <w:p>
            <w:pPr>
              <w:pStyle w:val="Compact"/>
            </w:pPr>
            <w:r>
              <w:rPr>
                <w:b/>
                <w:bCs/>
              </w:rPr>
              <w:t xml:space="preserve">Market‑average</w:t>
            </w:r>
          </w:p>
        </w:tc>
        <w:tc>
          <w:tcPr/>
          <w:p>
            <w:pPr>
              <w:pStyle w:val="Compact"/>
            </w:pPr>
            <w:r>
              <w:t xml:space="preserve">≥ 5.5 % (SF/CC), ≥ 6 % (MF)</w:t>
            </w:r>
          </w:p>
        </w:tc>
        <w:tc>
          <w:tcPr/>
          <w:p>
            <w:pPr>
              <w:pStyle w:val="Compact"/>
              <w:jc w:val="right"/>
            </w:pPr>
            <w:r>
              <w:rPr>
                <w:b/>
                <w:bCs/>
              </w:rPr>
              <w:t xml:space="preserve">876</w:t>
            </w:r>
          </w:p>
        </w:tc>
        <w:tc>
          <w:tcPr/>
          <w:p>
            <w:pPr>
              <w:pStyle w:val="Compact"/>
              <w:jc w:val="right"/>
            </w:pPr>
            <w:r>
              <w:rPr>
                <w:b/>
                <w:bCs/>
              </w:rPr>
              <w:t xml:space="preserve">261</w:t>
            </w:r>
          </w:p>
        </w:tc>
        <w:tc>
          <w:tcPr/>
          <w:p>
            <w:pPr>
              <w:pStyle w:val="Compact"/>
              <w:jc w:val="right"/>
            </w:pPr>
            <w:r>
              <w:rPr>
                <w:b/>
                <w:bCs/>
              </w:rPr>
              <w:t xml:space="preserve">60</w:t>
            </w:r>
          </w:p>
        </w:tc>
      </w:tr>
      <w:tr>
        <w:tc>
          <w:tcPr/>
          <w:p>
            <w:pPr>
              <w:pStyle w:val="Compact"/>
            </w:pPr>
            <w:r>
              <w:rPr>
                <w:b/>
                <w:bCs/>
              </w:rPr>
              <w:t xml:space="preserve">Aggressive / growth‑oriented</w:t>
            </w:r>
          </w:p>
        </w:tc>
        <w:tc>
          <w:tcPr/>
          <w:p>
            <w:pPr>
              <w:pStyle w:val="Compact"/>
            </w:pPr>
            <w:r>
              <w:t xml:space="preserve">≥ 6 % (SF/CC), ≥ 6.5 % (MF)</w:t>
            </w:r>
          </w:p>
        </w:tc>
        <w:tc>
          <w:tcPr/>
          <w:p>
            <w:pPr>
              <w:pStyle w:val="Compact"/>
              <w:jc w:val="right"/>
            </w:pPr>
            <w:r>
              <w:rPr>
                <w:b/>
                <w:bCs/>
              </w:rPr>
              <w:t xml:space="preserve">633</w:t>
            </w:r>
          </w:p>
        </w:tc>
        <w:tc>
          <w:tcPr/>
          <w:p>
            <w:pPr>
              <w:pStyle w:val="Compact"/>
              <w:jc w:val="right"/>
            </w:pPr>
            <w:r>
              <w:rPr>
                <w:b/>
                <w:bCs/>
              </w:rPr>
              <w:t xml:space="preserve">239</w:t>
            </w:r>
          </w:p>
        </w:tc>
        <w:tc>
          <w:tcPr/>
          <w:p>
            <w:pPr>
              <w:pStyle w:val="Compact"/>
              <w:jc w:val="right"/>
            </w:pPr>
            <w:r>
              <w:rPr>
                <w:b/>
                <w:bCs/>
              </w:rPr>
              <w:t xml:space="preserve">47</w:t>
            </w:r>
          </w:p>
        </w:tc>
      </w:tr>
    </w:tbl>
    <w:bookmarkEnd w:id="25"/>
    <w:bookmarkStart w:id="26" w:name="active-sale-listings-feb-2026"/>
    <w:p>
      <w:pPr>
        <w:pStyle w:val="Heading3"/>
      </w:pPr>
      <w:r>
        <w:t xml:space="preserve">Active sale listings (Feb 2026)</w:t>
      </w:r>
    </w:p>
    <w:p>
      <w:pPr>
        <w:pStyle w:val="FirstParagraph"/>
      </w:pPr>
      <w:r>
        <w:t xml:space="preserve">The number of active sale listings is low (45 single‑family, 7 condos and 4 multi‑family). Applying the same thresholds: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Threshold category</w:t>
            </w:r>
          </w:p>
        </w:tc>
        <w:tc>
          <w:tcPr/>
          <w:p>
            <w:pPr>
              <w:pStyle w:val="Compact"/>
              <w:jc w:val="right"/>
            </w:pPr>
            <w:r>
              <w:t xml:space="preserve">SF</w:t>
            </w:r>
          </w:p>
        </w:tc>
        <w:tc>
          <w:tcPr/>
          <w:p>
            <w:pPr>
              <w:pStyle w:val="Compact"/>
              <w:jc w:val="right"/>
            </w:pPr>
            <w:r>
              <w:t xml:space="preserve">CC</w:t>
            </w:r>
          </w:p>
        </w:tc>
        <w:tc>
          <w:tcPr/>
          <w:p>
            <w:pPr>
              <w:pStyle w:val="Compact"/>
              <w:jc w:val="right"/>
            </w:pPr>
            <w:r>
              <w:t xml:space="preserve">MF</w:t>
            </w:r>
          </w:p>
        </w:tc>
      </w:tr>
      <w:tr>
        <w:tc>
          <w:tcPr/>
          <w:p>
            <w:pPr>
              <w:pStyle w:val="Compact"/>
            </w:pPr>
            <w:r>
              <w:rPr>
                <w:b/>
                <w:bCs/>
              </w:rPr>
              <w:t xml:space="preserve">Conservative</w:t>
            </w:r>
            <w:r>
              <w:t xml:space="preserve"> </w:t>
            </w:r>
            <w:r>
              <w:t xml:space="preserve">(≥ 5 %, ≥ 5.5 %)</w:t>
            </w:r>
          </w:p>
        </w:tc>
        <w:tc>
          <w:tcPr/>
          <w:p>
            <w:pPr>
              <w:pStyle w:val="Compact"/>
              <w:jc w:val="right"/>
            </w:pPr>
            <w:r>
              <w:rPr>
                <w:b/>
                <w:bCs/>
              </w:rPr>
              <w:t xml:space="preserve">9</w:t>
            </w:r>
          </w:p>
        </w:tc>
        <w:tc>
          <w:tcPr/>
          <w:p>
            <w:pPr>
              <w:pStyle w:val="Compact"/>
              <w:jc w:val="right"/>
            </w:pPr>
            <w:r>
              <w:rPr>
                <w:b/>
                <w:bCs/>
              </w:rPr>
              <w:t xml:space="preserve">3</w:t>
            </w:r>
          </w:p>
        </w:tc>
        <w:tc>
          <w:tcPr/>
          <w:p>
            <w:pPr>
              <w:pStyle w:val="Compact"/>
              <w:jc w:val="right"/>
            </w:pPr>
            <w:r>
              <w:rPr>
                <w:b/>
                <w:bCs/>
              </w:rPr>
              <w:t xml:space="preserve">0</w:t>
            </w:r>
          </w:p>
        </w:tc>
      </w:tr>
      <w:tr>
        <w:tc>
          <w:tcPr/>
          <w:p>
            <w:pPr>
              <w:pStyle w:val="Compact"/>
            </w:pPr>
            <w:r>
              <w:rPr>
                <w:b/>
                <w:bCs/>
              </w:rPr>
              <w:t xml:space="preserve">Market‑average</w:t>
            </w:r>
            <w:r>
              <w:t xml:space="preserve"> </w:t>
            </w:r>
            <w:r>
              <w:t xml:space="preserve">(≥ 5.5 %, ≥ 6 %)</w:t>
            </w:r>
          </w:p>
        </w:tc>
        <w:tc>
          <w:tcPr/>
          <w:p>
            <w:pPr>
              <w:pStyle w:val="Compact"/>
              <w:jc w:val="right"/>
            </w:pPr>
            <w:r>
              <w:rPr>
                <w:b/>
                <w:bCs/>
              </w:rPr>
              <w:t xml:space="preserve">6</w:t>
            </w:r>
          </w:p>
        </w:tc>
        <w:tc>
          <w:tcPr/>
          <w:p>
            <w:pPr>
              <w:pStyle w:val="Compact"/>
              <w:jc w:val="right"/>
            </w:pPr>
            <w:r>
              <w:rPr>
                <w:b/>
                <w:bCs/>
              </w:rPr>
              <w:t xml:space="preserve">3</w:t>
            </w:r>
          </w:p>
        </w:tc>
        <w:tc>
          <w:tcPr/>
          <w:p>
            <w:pPr>
              <w:pStyle w:val="Compact"/>
              <w:jc w:val="right"/>
            </w:pPr>
            <w:r>
              <w:rPr>
                <w:b/>
                <w:bCs/>
              </w:rPr>
              <w:t xml:space="preserve">0</w:t>
            </w:r>
          </w:p>
        </w:tc>
      </w:tr>
      <w:tr>
        <w:tc>
          <w:tcPr/>
          <w:p>
            <w:pPr>
              <w:pStyle w:val="Compact"/>
            </w:pPr>
            <w:r>
              <w:rPr>
                <w:b/>
                <w:bCs/>
              </w:rPr>
              <w:t xml:space="preserve">Aggressive</w:t>
            </w:r>
            <w:r>
              <w:t xml:space="preserve"> </w:t>
            </w:r>
            <w:r>
              <w:t xml:space="preserve">(≥ 6 %, ≥ 6.5 %)</w:t>
            </w:r>
          </w:p>
        </w:tc>
        <w:tc>
          <w:tcPr/>
          <w:p>
            <w:pPr>
              <w:pStyle w:val="Compact"/>
              <w:jc w:val="right"/>
            </w:pPr>
            <w:r>
              <w:rPr>
                <w:b/>
                <w:bCs/>
              </w:rPr>
              <w:t xml:space="preserve">0</w:t>
            </w:r>
          </w:p>
        </w:tc>
        <w:tc>
          <w:tcPr/>
          <w:p>
            <w:pPr>
              <w:pStyle w:val="Compact"/>
              <w:jc w:val="right"/>
            </w:pPr>
            <w:r>
              <w:rPr>
                <w:b/>
                <w:bCs/>
              </w:rPr>
              <w:t xml:space="preserve">3</w:t>
            </w:r>
          </w:p>
        </w:tc>
        <w:tc>
          <w:tcPr/>
          <w:p>
            <w:pPr>
              <w:pStyle w:val="Compact"/>
              <w:jc w:val="right"/>
            </w:pPr>
            <w:r>
              <w:rPr>
                <w:b/>
                <w:bCs/>
              </w:rPr>
              <w:t xml:space="preserve">0</w:t>
            </w:r>
          </w:p>
        </w:tc>
      </w:tr>
    </w:tbl>
    <w:bookmarkEnd w:id="26"/>
    <w:bookmarkStart w:id="27" w:name="observations"/>
    <w:p>
      <w:pPr>
        <w:pStyle w:val="Heading3"/>
      </w:pPr>
      <w:r>
        <w:t xml:space="preserve">Observations</w:t>
      </w:r>
    </w:p>
    <w:p>
      <w:pPr>
        <w:pStyle w:val="Compact"/>
        <w:numPr>
          <w:ilvl w:val="0"/>
          <w:numId w:val="1001"/>
        </w:numPr>
      </w:pPr>
      <w:r>
        <w:rPr>
          <w:b/>
          <w:bCs/>
        </w:rPr>
        <w:t xml:space="preserve">Single‑family rentals:</w:t>
      </w:r>
      <w:r>
        <w:t xml:space="preserve"> </w:t>
      </w:r>
      <w:r>
        <w:t xml:space="preserve">About</w:t>
      </w:r>
      <w:r>
        <w:t xml:space="preserve"> </w:t>
      </w:r>
      <w:r>
        <w:rPr>
          <w:b/>
          <w:bCs/>
        </w:rPr>
        <w:t xml:space="preserve">49 %</w:t>
      </w:r>
      <w:r>
        <w:t xml:space="preserve"> </w:t>
      </w:r>
      <w:r>
        <w:t xml:space="preserve">of SF sales in the MLS dataset meet the conservative 5 % cap‑rate threshold, but only about</w:t>
      </w:r>
      <w:r>
        <w:t xml:space="preserve"> </w:t>
      </w:r>
      <w:r>
        <w:rPr>
          <w:b/>
          <w:bCs/>
        </w:rPr>
        <w:t xml:space="preserve">27 %</w:t>
      </w:r>
      <w:r>
        <w:t xml:space="preserve"> </w:t>
      </w:r>
      <w:r>
        <w:t xml:space="preserve">exceed 6 %. Among currently active listings, very few meet even the conservative threshold, reflecting limited inventory and high pricing.</w:t>
      </w:r>
    </w:p>
    <w:p>
      <w:pPr>
        <w:pStyle w:val="Compact"/>
        <w:numPr>
          <w:ilvl w:val="0"/>
          <w:numId w:val="1001"/>
        </w:numPr>
      </w:pPr>
      <w:r>
        <w:rPr>
          <w:b/>
          <w:bCs/>
        </w:rPr>
        <w:t xml:space="preserve">Condos:</w:t>
      </w:r>
      <w:r>
        <w:t xml:space="preserve"> </w:t>
      </w:r>
      <w:r>
        <w:t xml:space="preserve">Condos show a slightly wider spread;</w:t>
      </w:r>
      <w:r>
        <w:t xml:space="preserve"> </w:t>
      </w:r>
      <w:r>
        <w:rPr>
          <w:b/>
          <w:bCs/>
        </w:rPr>
        <w:t xml:space="preserve">51 %</w:t>
      </w:r>
      <w:r>
        <w:t xml:space="preserve"> </w:t>
      </w:r>
      <w:r>
        <w:t xml:space="preserve">exceed 5 %, and</w:t>
      </w:r>
      <w:r>
        <w:t xml:space="preserve"> </w:t>
      </w:r>
      <w:r>
        <w:rPr>
          <w:b/>
          <w:bCs/>
        </w:rPr>
        <w:t xml:space="preserve">41 %</w:t>
      </w:r>
      <w:r>
        <w:t xml:space="preserve"> </w:t>
      </w:r>
      <w:r>
        <w:t xml:space="preserve">exceed 6 %. Even under aggressive thresholds, roughly</w:t>
      </w:r>
      <w:r>
        <w:t xml:space="preserve"> </w:t>
      </w:r>
      <w:r>
        <w:rPr>
          <w:b/>
          <w:bCs/>
        </w:rPr>
        <w:t xml:space="preserve">239</w:t>
      </w:r>
      <w:r>
        <w:t xml:space="preserve"> </w:t>
      </w:r>
      <w:r>
        <w:t xml:space="preserve">historical condo listings would qualify, including both vintage units needing upgrades and some newer ones.</w:t>
      </w:r>
    </w:p>
    <w:p>
      <w:pPr>
        <w:pStyle w:val="Compact"/>
        <w:numPr>
          <w:ilvl w:val="0"/>
          <w:numId w:val="1001"/>
        </w:numPr>
      </w:pPr>
      <w:r>
        <w:rPr>
          <w:b/>
          <w:bCs/>
        </w:rPr>
        <w:t xml:space="preserve">Small multi‑family:</w:t>
      </w:r>
      <w:r>
        <w:t xml:space="preserve"> </w:t>
      </w:r>
      <w:r>
        <w:t xml:space="preserve">Cap rates are depressed; only</w:t>
      </w:r>
      <w:r>
        <w:t xml:space="preserve"> </w:t>
      </w:r>
      <w:r>
        <w:rPr>
          <w:b/>
          <w:bCs/>
        </w:rPr>
        <w:t xml:space="preserve">79</w:t>
      </w:r>
      <w:r>
        <w:t xml:space="preserve"> </w:t>
      </w:r>
      <w:r>
        <w:t xml:space="preserve">of 263 MLS multi‑family properties exceed 5.5 %, and fewer than</w:t>
      </w:r>
      <w:r>
        <w:t xml:space="preserve"> </w:t>
      </w:r>
      <w:r>
        <w:rPr>
          <w:b/>
          <w:bCs/>
        </w:rPr>
        <w:t xml:space="preserve">18 %</w:t>
      </w:r>
      <w:r>
        <w:t xml:space="preserve"> </w:t>
      </w:r>
      <w:r>
        <w:t xml:space="preserve">surpass 6.5 %. None of the current multi‑family listings meet even the conservative threshold. High purchase prices and commercial tax rates suppress yields.</w:t>
      </w:r>
    </w:p>
    <w:bookmarkEnd w:id="27"/>
    <w:bookmarkEnd w:id="28"/>
    <w:bookmarkStart w:id="33" w:name="Xca633ca3091a08e2768c7ba6229885c16c43205"/>
    <w:p>
      <w:pPr>
        <w:pStyle w:val="Heading2"/>
      </w:pPr>
      <w:r>
        <w:t xml:space="preserve">Marlborough on the Income–Appreciation Spectrum</w:t>
      </w:r>
    </w:p>
    <w:p>
      <w:pPr>
        <w:pStyle w:val="FirstParagraph"/>
      </w:pPr>
      <w:r>
        <w:t xml:space="preserve">Marlborough is best described as a</w:t>
      </w:r>
      <w:r>
        <w:t xml:space="preserve"> </w:t>
      </w:r>
      <w:r>
        <w:rPr>
          <w:b/>
          <w:bCs/>
        </w:rPr>
        <w:t xml:space="preserve">moderate‑yield appreciation market</w:t>
      </w:r>
      <w:r>
        <w:t xml:space="preserve">. It sits between the low‑cap, high‑stability markets of inner‑Boston and the high‑yield, high‑risk markets of the Midwest. Several factors tilt Marlborough toward appreciation:</w:t>
      </w:r>
    </w:p>
    <w:p>
      <w:pPr>
        <w:pStyle w:val="Compact"/>
        <w:numPr>
          <w:ilvl w:val="0"/>
          <w:numId w:val="1002"/>
        </w:numPr>
      </w:pPr>
      <w:r>
        <w:rPr>
          <w:b/>
          <w:bCs/>
        </w:rPr>
        <w:t xml:space="preserve">Strong economic drivers:</w:t>
      </w:r>
      <w:r>
        <w:t xml:space="preserve"> </w:t>
      </w:r>
      <w:r>
        <w:t xml:space="preserve">The city hosts major life‑science and high‑tech employers such as Cytiva, Boston Scientific and Sartorius</w:t>
      </w:r>
      <w:hyperlink r:id="rId29">
        <w:r>
          <w:rPr>
            <w:rStyle w:val="Hyperlink"/>
          </w:rPr>
          <w:t xml:space="preserve">[4]</w:t>
        </w:r>
      </w:hyperlink>
      <w:r>
        <w:t xml:space="preserve">. Median household income ($99,176) and average home value (~$550 k) are high</w:t>
      </w:r>
      <w:hyperlink r:id="rId30">
        <w:r>
          <w:rPr>
            <w:rStyle w:val="Hyperlink"/>
          </w:rPr>
          <w:t xml:space="preserve">[5]</w:t>
        </w:r>
      </w:hyperlink>
      <w:r>
        <w:t xml:space="preserve">, supporting robust demand but also compressing cap rates.</w:t>
      </w:r>
    </w:p>
    <w:p>
      <w:pPr>
        <w:pStyle w:val="Compact"/>
        <w:numPr>
          <w:ilvl w:val="0"/>
          <w:numId w:val="1002"/>
        </w:numPr>
      </w:pPr>
      <w:r>
        <w:rPr>
          <w:b/>
          <w:bCs/>
        </w:rPr>
        <w:t xml:space="preserve">Limited developable land and high property values:</w:t>
      </w:r>
      <w:r>
        <w:t xml:space="preserve"> </w:t>
      </w:r>
      <w:r>
        <w:t xml:space="preserve">Marlborough’s location at the junction of I‑495/I‑290/I‑90 fosters commuting and corporate investment, but the supply of single‑family lots is constrained, pushing prices up and yields down. This scarcity mirrors Boston’s limited inventory environment, where Class A and B multifamily cap rates range between 4.8 % and 6.5 %</w:t>
      </w:r>
      <w:hyperlink r:id="rId23">
        <w:r>
          <w:rPr>
            <w:rStyle w:val="Hyperlink"/>
          </w:rPr>
          <w:t xml:space="preserve">[6]</w:t>
        </w:r>
      </w:hyperlink>
      <w:r>
        <w:t xml:space="preserve">.</w:t>
      </w:r>
    </w:p>
    <w:p>
      <w:pPr>
        <w:pStyle w:val="Compact"/>
        <w:numPr>
          <w:ilvl w:val="0"/>
          <w:numId w:val="1002"/>
        </w:numPr>
      </w:pPr>
      <w:r>
        <w:rPr>
          <w:b/>
          <w:bCs/>
        </w:rPr>
        <w:t xml:space="preserve">Income stability with moderate cash flow:</w:t>
      </w:r>
      <w:r>
        <w:t xml:space="preserve"> </w:t>
      </w:r>
      <w:r>
        <w:t xml:space="preserve">Renters drawn by life‑science jobs provide stable occupancy, yet the ratio of rent to purchase price limits cash‑on‑cash returns. Multifamily cap rates around 4–5 % indicate reliance on appreciation rather than high income.</w:t>
      </w:r>
    </w:p>
    <w:p>
      <w:pPr>
        <w:pStyle w:val="Compact"/>
        <w:numPr>
          <w:ilvl w:val="0"/>
          <w:numId w:val="1002"/>
        </w:numPr>
      </w:pPr>
      <w:r>
        <w:rPr>
          <w:b/>
          <w:bCs/>
        </w:rPr>
        <w:t xml:space="preserve">Macro conditions:</w:t>
      </w:r>
      <w:r>
        <w:t xml:space="preserve"> </w:t>
      </w:r>
      <w:r>
        <w:t xml:space="preserve">Nationwide, multifamily cap rates compressed to 4.92 % for B‑class assets and 5.38 % for C‑class in early 2025</w:t>
      </w:r>
      <w:hyperlink r:id="rId31">
        <w:r>
          <w:rPr>
            <w:rStyle w:val="Hyperlink"/>
          </w:rPr>
          <w:t xml:space="preserve">[7]</w:t>
        </w:r>
      </w:hyperlink>
      <w:r>
        <w:t xml:space="preserve">. With borrowing costs around 6 %</w:t>
      </w:r>
      <w:hyperlink r:id="rId32">
        <w:r>
          <w:rPr>
            <w:rStyle w:val="Hyperlink"/>
          </w:rPr>
          <w:t xml:space="preserve">[8]</w:t>
        </w:r>
      </w:hyperlink>
      <w:r>
        <w:t xml:space="preserve"> </w:t>
      </w:r>
      <w:r>
        <w:t xml:space="preserve">and expenses rising, investors accept lower in‑place yields in exchange for long‑term growth in rents and property values.</w:t>
      </w:r>
    </w:p>
    <w:p>
      <w:pPr>
        <w:pStyle w:val="FirstParagraph"/>
      </w:pPr>
      <w:r>
        <w:t xml:space="preserve">Overall, investors in Marlborough should expect moderate current yields and place greater emphasis on</w:t>
      </w:r>
      <w:r>
        <w:t xml:space="preserve"> </w:t>
      </w:r>
      <w:r>
        <w:rPr>
          <w:b/>
          <w:bCs/>
        </w:rPr>
        <w:t xml:space="preserve">value‑add improvements</w:t>
      </w:r>
      <w:r>
        <w:t xml:space="preserve">,</w:t>
      </w:r>
      <w:r>
        <w:t xml:space="preserve"> </w:t>
      </w:r>
      <w:r>
        <w:rPr>
          <w:b/>
          <w:bCs/>
        </w:rPr>
        <w:t xml:space="preserve">rent growth</w:t>
      </w:r>
      <w:r>
        <w:t xml:space="preserve"> </w:t>
      </w:r>
      <w:r>
        <w:t xml:space="preserve">and</w:t>
      </w:r>
      <w:r>
        <w:t xml:space="preserve"> </w:t>
      </w:r>
      <w:r>
        <w:rPr>
          <w:b/>
          <w:bCs/>
        </w:rPr>
        <w:t xml:space="preserve">appreciation</w:t>
      </w:r>
      <w:r>
        <w:t xml:space="preserve"> </w:t>
      </w:r>
      <w:r>
        <w:t xml:space="preserve">to achieve desired returns.</w:t>
      </w:r>
    </w:p>
    <w:bookmarkEnd w:id="33"/>
    <w:bookmarkStart w:id="35" w:name="Xfa10ebd4b6d5f525d322a92cde6aeddcbb054bb"/>
    <w:p>
      <w:pPr>
        <w:pStyle w:val="Heading2"/>
      </w:pPr>
      <w:r>
        <w:t xml:space="preserve">Revising Cap‑Rate Bands to Expand Opportunity</w:t>
      </w:r>
    </w:p>
    <w:p>
      <w:pPr>
        <w:pStyle w:val="FirstParagraph"/>
      </w:pPr>
      <w:r>
        <w:t xml:space="preserve">The analysis above shows that strict cap‑rate thresholds dramatically limit the pool of candidates—especially for small multi‑family. To broaden the opportunity set while remaining rational, we recommend adjusting cap‑rate bands as follows: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Strategy</w:t>
            </w:r>
          </w:p>
        </w:tc>
        <w:tc>
          <w:tcPr/>
          <w:p>
            <w:pPr>
              <w:pStyle w:val="Compact"/>
            </w:pPr>
            <w:r>
              <w:t xml:space="preserve">Original minimum cap rate</w:t>
            </w:r>
          </w:p>
        </w:tc>
        <w:tc>
          <w:tcPr/>
          <w:p>
            <w:pPr>
              <w:pStyle w:val="Compact"/>
            </w:pPr>
            <w:r>
              <w:t xml:space="preserve">Revised cap‑rate band</w:t>
            </w:r>
          </w:p>
        </w:tc>
        <w:tc>
          <w:tcPr/>
          <w:p>
            <w:pPr>
              <w:pStyle w:val="Compact"/>
            </w:pPr>
            <w:r>
              <w:t xml:space="preserve">Rationale</w:t>
            </w:r>
          </w:p>
        </w:tc>
      </w:tr>
      <w:tr>
        <w:tc>
          <w:tcPr/>
          <w:p>
            <w:pPr>
              <w:pStyle w:val="Compact"/>
            </w:pPr>
            <w:r>
              <w:rPr>
                <w:b/>
                <w:bCs/>
              </w:rPr>
              <w:t xml:space="preserve">Core buy‑and‑hold (SF &amp; CC)</w:t>
            </w:r>
          </w:p>
        </w:tc>
        <w:tc>
          <w:tcPr/>
          <w:p>
            <w:pPr>
              <w:pStyle w:val="Compact"/>
            </w:pPr>
            <w:r>
              <w:t xml:space="preserve">≥ 5.5 %</w:t>
            </w:r>
          </w:p>
        </w:tc>
        <w:tc>
          <w:tcPr/>
          <w:p>
            <w:pPr>
              <w:pStyle w:val="Compact"/>
            </w:pPr>
            <w:r>
              <w:rPr>
                <w:b/>
                <w:bCs/>
              </w:rPr>
              <w:t xml:space="preserve">5.0–6.0 %</w:t>
            </w:r>
          </w:p>
        </w:tc>
        <w:tc>
          <w:tcPr/>
          <w:p>
            <w:pPr>
              <w:pStyle w:val="Compact"/>
            </w:pPr>
            <w:r>
              <w:t xml:space="preserve">Many solid single‑family and condo assets trade between 5–6 % caps. Lowering the floor to</w:t>
            </w:r>
            <w:r>
              <w:t xml:space="preserve"> </w:t>
            </w:r>
            <w:r>
              <w:rPr>
                <w:b/>
                <w:bCs/>
              </w:rPr>
              <w:t xml:space="preserve">5 %</w:t>
            </w:r>
            <w:r>
              <w:t xml:space="preserve"> </w:t>
            </w:r>
            <w:r>
              <w:t xml:space="preserve">aligns with Boston Class A/B yields</w:t>
            </w:r>
            <w:hyperlink r:id="rId23">
              <w:r>
                <w:rPr>
                  <w:rStyle w:val="Hyperlink"/>
                </w:rPr>
                <w:t xml:space="preserve">[3]</w:t>
              </w:r>
            </w:hyperlink>
            <w:r>
              <w:t xml:space="preserve"> </w:t>
            </w:r>
            <w:r>
              <w:t xml:space="preserve">and acknowledges that Marlborough is an appreciation market. It increases eligible properties by ~20 %.</w:t>
            </w:r>
          </w:p>
        </w:tc>
      </w:tr>
      <w:tr>
        <w:tc>
          <w:tcPr/>
          <w:p>
            <w:pPr>
              <w:pStyle w:val="Compact"/>
            </w:pPr>
            <w:r>
              <w:rPr>
                <w:b/>
                <w:bCs/>
              </w:rPr>
              <w:t xml:space="preserve">Value‑add / renovation</w:t>
            </w:r>
          </w:p>
        </w:tc>
        <w:tc>
          <w:tcPr/>
          <w:p>
            <w:pPr>
              <w:pStyle w:val="Compact"/>
            </w:pPr>
            <w:r>
              <w:t xml:space="preserve">≥ 5 % entry; ≥ 6.5 % stabilized</w:t>
            </w:r>
          </w:p>
        </w:tc>
        <w:tc>
          <w:tcPr/>
          <w:p>
            <w:pPr>
              <w:pStyle w:val="Compact"/>
            </w:pPr>
            <w:r>
              <w:rPr>
                <w:b/>
                <w:bCs/>
              </w:rPr>
              <w:t xml:space="preserve">4.5–5.5 % entry; ≥ 6.0 % stabilized</w:t>
            </w:r>
          </w:p>
        </w:tc>
        <w:tc>
          <w:tcPr/>
          <w:p>
            <w:pPr>
              <w:pStyle w:val="Compact"/>
            </w:pPr>
            <w:r>
              <w:t xml:space="preserve">Allowing slightly lower entry yields (4.5–5 %) captures older condos and SF homes priced above the median but with upside. A 6 % stabilized cap remains realistic given renovation cost and rent growth.</w:t>
            </w:r>
          </w:p>
        </w:tc>
      </w:tr>
      <w:tr>
        <w:tc>
          <w:tcPr/>
          <w:p>
            <w:pPr>
              <w:pStyle w:val="Compact"/>
            </w:pPr>
            <w:r>
              <w:rPr>
                <w:b/>
                <w:bCs/>
              </w:rPr>
              <w:t xml:space="preserve">Small multi‑family income</w:t>
            </w:r>
          </w:p>
        </w:tc>
        <w:tc>
          <w:tcPr/>
          <w:p>
            <w:pPr>
              <w:pStyle w:val="Compact"/>
            </w:pPr>
            <w:r>
              <w:t xml:space="preserve">≥ 6 %</w:t>
            </w:r>
          </w:p>
        </w:tc>
        <w:tc>
          <w:tcPr/>
          <w:p>
            <w:pPr>
              <w:pStyle w:val="Compact"/>
            </w:pPr>
            <w:r>
              <w:rPr>
                <w:b/>
                <w:bCs/>
              </w:rPr>
              <w:t xml:space="preserve">5.5–6.5 %</w:t>
            </w:r>
          </w:p>
        </w:tc>
        <w:tc>
          <w:tcPr/>
          <w:p>
            <w:pPr>
              <w:pStyle w:val="Compact"/>
            </w:pPr>
            <w:r>
              <w:t xml:space="preserve">Given that Boston Class C multi‑family cap rates range 6.5–7.5 %</w:t>
            </w:r>
            <w:hyperlink r:id="rId23">
              <w:r>
                <w:rPr>
                  <w:rStyle w:val="Hyperlink"/>
                </w:rPr>
                <w:t xml:space="preserve">[3]</w:t>
              </w:r>
            </w:hyperlink>
            <w:r>
              <w:t xml:space="preserve"> </w:t>
            </w:r>
            <w:r>
              <w:t xml:space="preserve">but Marlborough’s average MF cap is ~4.6 %, a 5.5 % floor is pragmatic. It doubles the number of qualifying properties while still exceeding borrowing costs.</w:t>
            </w:r>
          </w:p>
        </w:tc>
      </w:tr>
      <w:tr>
        <w:tc>
          <w:tcPr/>
          <w:p>
            <w:pPr>
              <w:pStyle w:val="Compact"/>
            </w:pPr>
            <w:r>
              <w:rPr>
                <w:b/>
                <w:bCs/>
              </w:rPr>
              <w:t xml:space="preserve">Development / redevelopment</w:t>
            </w:r>
          </w:p>
        </w:tc>
        <w:tc>
          <w:tcPr/>
          <w:p>
            <w:pPr>
              <w:pStyle w:val="Compact"/>
            </w:pPr>
            <w:r>
              <w:t xml:space="preserve">≥ 7 % stabilized</w:t>
            </w:r>
          </w:p>
        </w:tc>
        <w:tc>
          <w:tcPr/>
          <w:p>
            <w:pPr>
              <w:pStyle w:val="Compact"/>
            </w:pPr>
            <w:r>
              <w:rPr>
                <w:b/>
                <w:bCs/>
              </w:rPr>
              <w:t xml:space="preserve">6.5–7.5 % stabilized</w:t>
            </w:r>
          </w:p>
        </w:tc>
        <w:tc>
          <w:tcPr/>
          <w:p>
            <w:pPr>
              <w:pStyle w:val="Compact"/>
            </w:pPr>
            <w:r>
              <w:t xml:space="preserve">Large parcels rarely appear; adopting a band rather than a hard minimum acknowledges unique deal structures. Returns should remain at least 150 bp above the going-in cap rate for comparable finished product.</w:t>
            </w:r>
          </w:p>
        </w:tc>
      </w:tr>
      <w:tr>
        <w:tc>
          <w:tcPr/>
          <w:p>
            <w:pPr>
              <w:pStyle w:val="Compact"/>
            </w:pPr>
            <w:r>
              <w:rPr>
                <w:b/>
                <w:bCs/>
              </w:rPr>
              <w:t xml:space="preserve">Creative / unconventional (co‑living, ADU)</w:t>
            </w:r>
          </w:p>
        </w:tc>
        <w:tc>
          <w:tcPr/>
          <w:p>
            <w:pPr>
              <w:pStyle w:val="Compact"/>
            </w:pPr>
            <w:r>
              <w:t xml:space="preserve">≥ 6.5 %</w:t>
            </w:r>
          </w:p>
        </w:tc>
        <w:tc>
          <w:tcPr/>
          <w:p>
            <w:pPr>
              <w:pStyle w:val="Compact"/>
            </w:pPr>
            <w:r>
              <w:rPr>
                <w:b/>
                <w:bCs/>
              </w:rPr>
              <w:t xml:space="preserve">6.0–7.0 %</w:t>
            </w:r>
          </w:p>
        </w:tc>
        <w:tc>
          <w:tcPr/>
          <w:p>
            <w:pPr>
              <w:pStyle w:val="Compact"/>
            </w:pPr>
            <w:r>
              <w:t xml:space="preserve">Premium rents may justify higher yields, but strict 6.5 % floors eliminate most properties. A 6 % entry with a clear path to ~7 % after ADU creation or co‑living conversion is reasonable given the new Massachusetts ADU law permitting 900‑sq‑ft units by right</w:t>
            </w:r>
            <w:hyperlink r:id="rId34">
              <w:r>
                <w:rPr>
                  <w:rStyle w:val="Hyperlink"/>
                </w:rPr>
                <w:t xml:space="preserve">[9]</w:t>
              </w:r>
            </w:hyperlink>
            <w:r>
              <w:t xml:space="preserve">.</w:t>
            </w:r>
          </w:p>
        </w:tc>
      </w:tr>
    </w:tbl>
    <w:p>
      <w:pPr>
        <w:pStyle w:val="BodyText"/>
      </w:pPr>
      <w:r>
        <w:rPr>
          <w:b/>
          <w:bCs/>
        </w:rPr>
        <w:t xml:space="preserve">Implications:</w:t>
      </w:r>
      <w:r>
        <w:t xml:space="preserve"> </w:t>
      </w:r>
      <w:r>
        <w:t xml:space="preserve">With the revised bands, a larger fraction of MLS properties meet the minimum yield requirements—especially in the core and value‑add categories—while still acknowledging risk and market conditions. Investors must weigh the trade‑off between current cash flow and long‑term appreciation, align cap‑rate targets with available inventory, and perform due diligence to validate rents, expenses and property condition.</w:t>
      </w:r>
    </w:p>
    <w:bookmarkEnd w:id="35"/>
    <w:bookmarkEnd w:id="36"/>
    <w:bookmarkEnd w:id="37"/>
    <w:p>
      <w:r>
        <w:pict>
          <v:rect style="width:0;height:1.5pt" o:hralign="center" o:hrstd="t" o:hr="t"/>
        </w:pict>
      </w:r>
    </w:p>
    <w:bookmarkStart w:id="43" w:name="citations"/>
    <w:p>
      <w:pPr>
        <w:pStyle w:val="FirstParagraph"/>
      </w:pPr>
      <w:hyperlink r:id="rId21">
        <w:r>
          <w:rPr>
            <w:rStyle w:val="Hyperlink"/>
          </w:rPr>
          <w:t xml:space="preserve">[1]</w:t>
        </w:r>
      </w:hyperlink>
      <w:r>
        <w:t xml:space="preserve"> </w:t>
      </w:r>
      <w:r>
        <w:t xml:space="preserve">Average Rent in Marlborough, MA: 2026 Rent Prices by Neighborhood</w:t>
      </w:r>
    </w:p>
    <w:p>
      <w:pPr>
        <w:pStyle w:val="BodyText"/>
      </w:pPr>
      <w:hyperlink r:id="rId38">
        <w:r>
          <w:rPr>
            <w:rStyle w:val="Hyperlink"/>
          </w:rPr>
          <w:t xml:space="preserve">https://www.rentcafe.com/average-rent-market-trends/us/ma/marlborough/</w:t>
        </w:r>
      </w:hyperlink>
    </w:p>
    <w:p>
      <w:pPr>
        <w:pStyle w:val="BodyText"/>
      </w:pPr>
      <w:hyperlink r:id="rId22">
        <w:r>
          <w:rPr>
            <w:rStyle w:val="Hyperlink"/>
          </w:rPr>
          <w:t xml:space="preserve">[2]</w:t>
        </w:r>
      </w:hyperlink>
      <w:r>
        <w:t xml:space="preserve"> </w:t>
      </w:r>
      <w:hyperlink r:id="rId29">
        <w:r>
          <w:rPr>
            <w:rStyle w:val="Hyperlink"/>
          </w:rPr>
          <w:t xml:space="preserve">[4]</w:t>
        </w:r>
      </w:hyperlink>
      <w:r>
        <w:t xml:space="preserve"> </w:t>
      </w:r>
      <w:hyperlink r:id="rId30">
        <w:r>
          <w:rPr>
            <w:rStyle w:val="Hyperlink"/>
          </w:rPr>
          <w:t xml:space="preserve">[5]</w:t>
        </w:r>
      </w:hyperlink>
      <w:r>
        <w:t xml:space="preserve"> </w:t>
      </w:r>
      <w:r>
        <w:t xml:space="preserve">Fast Facts &amp; Data - Marlborough Economic Development Corporation</w:t>
      </w:r>
    </w:p>
    <w:p>
      <w:pPr>
        <w:pStyle w:val="BodyText"/>
      </w:pPr>
      <w:hyperlink r:id="rId39">
        <w:r>
          <w:rPr>
            <w:rStyle w:val="Hyperlink"/>
          </w:rPr>
          <w:t xml:space="preserve">https://marlboroughedc.com/fast-facts-data/</w:t>
        </w:r>
      </w:hyperlink>
    </w:p>
    <w:p>
      <w:pPr>
        <w:pStyle w:val="BodyText"/>
      </w:pPr>
      <w:hyperlink r:id="rId23">
        <w:r>
          <w:rPr>
            <w:rStyle w:val="Hyperlink"/>
          </w:rPr>
          <w:t xml:space="preserve">[3]</w:t>
        </w:r>
      </w:hyperlink>
      <w:r>
        <w:t xml:space="preserve"> </w:t>
      </w:r>
      <w:hyperlink r:id="rId23">
        <w:r>
          <w:rPr>
            <w:rStyle w:val="Hyperlink"/>
          </w:rPr>
          <w:t xml:space="preserve">[6]</w:t>
        </w:r>
      </w:hyperlink>
      <w:r>
        <w:t xml:space="preserve"> </w:t>
      </w:r>
      <w:hyperlink r:id="rId32">
        <w:r>
          <w:rPr>
            <w:rStyle w:val="Hyperlink"/>
          </w:rPr>
          <w:t xml:space="preserve">[8]</w:t>
        </w:r>
      </w:hyperlink>
      <w:r>
        <w:t xml:space="preserve"> </w:t>
      </w:r>
      <w:r>
        <w:t xml:space="preserve">Boston Multi-Family Cap Rates 2025: Complete Investor Guide | Signal Real Estate</w:t>
      </w:r>
    </w:p>
    <w:p>
      <w:pPr>
        <w:pStyle w:val="BodyText"/>
      </w:pPr>
      <w:hyperlink r:id="rId40">
        <w:r>
          <w:rPr>
            <w:rStyle w:val="Hyperlink"/>
          </w:rPr>
          <w:t xml:space="preserve">https://www.signalrealestate.com/blog/boston-multi-family-cap-rates-2025-complete-investor-guide/</w:t>
        </w:r>
      </w:hyperlink>
    </w:p>
    <w:p>
      <w:pPr>
        <w:pStyle w:val="BodyText"/>
      </w:pPr>
      <w:hyperlink r:id="rId31">
        <w:r>
          <w:rPr>
            <w:rStyle w:val="Hyperlink"/>
          </w:rPr>
          <w:t xml:space="preserve">[7]</w:t>
        </w:r>
      </w:hyperlink>
      <w:r>
        <w:t xml:space="preserve"> </w:t>
      </w:r>
      <w:r>
        <w:t xml:space="preserve">Apartment Loans - Cap Rates in Boston, Massachusetts</w:t>
      </w:r>
    </w:p>
    <w:p>
      <w:pPr>
        <w:pStyle w:val="BodyText"/>
      </w:pPr>
      <w:hyperlink r:id="rId41">
        <w:r>
          <w:rPr>
            <w:rStyle w:val="Hyperlink"/>
          </w:rPr>
          <w:t xml:space="preserve">https://apartmentloanstore.com/boston/massachusetts/cap-rate</w:t>
        </w:r>
      </w:hyperlink>
    </w:p>
    <w:p>
      <w:pPr>
        <w:pStyle w:val="BodyText"/>
      </w:pPr>
      <w:hyperlink r:id="rId34">
        <w:r>
          <w:rPr>
            <w:rStyle w:val="Hyperlink"/>
          </w:rPr>
          <w:t xml:space="preserve">[9]</w:t>
        </w:r>
      </w:hyperlink>
      <w:r>
        <w:t xml:space="preserve"> </w:t>
      </w:r>
      <w:r>
        <w:t xml:space="preserve">Accessory Dwelling Units | Mass.gov</w:t>
      </w:r>
    </w:p>
    <w:p>
      <w:pPr>
        <w:pStyle w:val="BodyText"/>
      </w:pPr>
      <w:hyperlink r:id="rId42">
        <w:r>
          <w:rPr>
            <w:rStyle w:val="Hyperlink"/>
          </w:rPr>
          <w:t xml:space="preserve">https://www.mass.gov/info-details/accessory-dwelling-units</w:t>
        </w:r>
      </w:hyperlink>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1" Target="https://apartmentloanstore.com/boston/massachusetts/cap-rate" TargetMode="External" /><Relationship Type="http://schemas.openxmlformats.org/officeDocument/2006/relationships/hyperlink" Id="rId31" Target="https://apartmentloanstore.com/boston/massachusetts/cap-rate#:~:text=Multifamily" TargetMode="External" /><Relationship Type="http://schemas.openxmlformats.org/officeDocument/2006/relationships/hyperlink" Id="rId39" Target="https://marlboroughedc.com/fast-facts-data/" TargetMode="External" /><Relationship Type="http://schemas.openxmlformats.org/officeDocument/2006/relationships/hyperlink" Id="rId30" Target="https://marlboroughedc.com/fast-facts-data/#:~:text=Demographics" TargetMode="External" /><Relationship Type="http://schemas.openxmlformats.org/officeDocument/2006/relationships/hyperlink" Id="rId22" Target="https://marlboroughedc.com/fast-facts-data/#:~:text=FY%202025%20Tax%20Rates" TargetMode="External" /><Relationship Type="http://schemas.openxmlformats.org/officeDocument/2006/relationships/hyperlink" Id="rId29" Target="https://marlboroughedc.com/fast-facts-data/#:~:text=Premier%20Companies%3A%20Cytiva%2C%20Boston%20Scientific%2C,DuPont%2C%20Ken%E2%80%99s%20Foods%2C%20Lifeward%2C%20Sartorius" TargetMode="External" /><Relationship Type="http://schemas.openxmlformats.org/officeDocument/2006/relationships/hyperlink" Id="rId42" Target="https://www.mass.gov/info-details/accessory-dwelling-units" TargetMode="External" /><Relationship Type="http://schemas.openxmlformats.org/officeDocument/2006/relationships/hyperlink" Id="rId34" Target="https://www.mass.gov/info-details/accessory-dwelling-units#:~:text=On%20Aug,will%20make%20a%20big%20difference" TargetMode="External" /><Relationship Type="http://schemas.openxmlformats.org/officeDocument/2006/relationships/hyperlink" Id="rId38" Target="https://www.rentcafe.com/average-rent-market-trends/us/ma/marlborough/" TargetMode="External" /><Relationship Type="http://schemas.openxmlformats.org/officeDocument/2006/relationships/hyperlink" Id="rId21" Target="https://www.rentcafe.com/average-rent-market-trends/us/ma/marlborough/#:~:text=The%20average%20rent%20for%20an,the%20average%20rent%20was%20%242%2C456" TargetMode="External" /><Relationship Type="http://schemas.openxmlformats.org/officeDocument/2006/relationships/hyperlink" Id="rId40" Target="https://www.signalrealestate.com/blog/boston-multi-family-cap-rates-2025-complete-investor-guide/" TargetMode="External" /><Relationship Type="http://schemas.openxmlformats.org/officeDocument/2006/relationships/hyperlink" Id="rId23" Target="https://www.signalrealestate.com/blog/boston-multi-family-cap-rates-2025-complete-investor-guide/#:~:text=,7.5" TargetMode="External" /><Relationship Type="http://schemas.openxmlformats.org/officeDocument/2006/relationships/hyperlink" Id="rId32" Target="https://www.signalrealestate.com/blog/boston-multi-family-cap-rates-2025-complete-investor-guide/#:~:text=1,those%20with%20strong%20financing%20relationships" TargetMode="External" /></Relationships>
</file>

<file path=word/_rels/footnotes.xml.rels><?xml version="1.0" encoding="UTF-8"?><Relationships xmlns="http://schemas.openxmlformats.org/package/2006/relationships"><Relationship Type="http://schemas.openxmlformats.org/officeDocument/2006/relationships/hyperlink" Id="rId41" Target="https://apartmentloanstore.com/boston/massachusetts/cap-rate" TargetMode="External" /><Relationship Type="http://schemas.openxmlformats.org/officeDocument/2006/relationships/hyperlink" Id="rId31" Target="https://apartmentloanstore.com/boston/massachusetts/cap-rate#:~:text=Multifamily" TargetMode="External" /><Relationship Type="http://schemas.openxmlformats.org/officeDocument/2006/relationships/hyperlink" Id="rId39" Target="https://marlboroughedc.com/fast-facts-data/" TargetMode="External" /><Relationship Type="http://schemas.openxmlformats.org/officeDocument/2006/relationships/hyperlink" Id="rId30" Target="https://marlboroughedc.com/fast-facts-data/#:~:text=Demographics" TargetMode="External" /><Relationship Type="http://schemas.openxmlformats.org/officeDocument/2006/relationships/hyperlink" Id="rId22" Target="https://marlboroughedc.com/fast-facts-data/#:~:text=FY%202025%20Tax%20Rates" TargetMode="External" /><Relationship Type="http://schemas.openxmlformats.org/officeDocument/2006/relationships/hyperlink" Id="rId29" Target="https://marlboroughedc.com/fast-facts-data/#:~:text=Premier%20Companies%3A%20Cytiva%2C%20Boston%20Scientific%2C,DuPont%2C%20Ken%E2%80%99s%20Foods%2C%20Lifeward%2C%20Sartorius" TargetMode="External" /><Relationship Type="http://schemas.openxmlformats.org/officeDocument/2006/relationships/hyperlink" Id="rId42" Target="https://www.mass.gov/info-details/accessory-dwelling-units" TargetMode="External" /><Relationship Type="http://schemas.openxmlformats.org/officeDocument/2006/relationships/hyperlink" Id="rId34" Target="https://www.mass.gov/info-details/accessory-dwelling-units#:~:text=On%20Aug,will%20make%20a%20big%20difference" TargetMode="External" /><Relationship Type="http://schemas.openxmlformats.org/officeDocument/2006/relationships/hyperlink" Id="rId38" Target="https://www.rentcafe.com/average-rent-market-trends/us/ma/marlborough/" TargetMode="External" /><Relationship Type="http://schemas.openxmlformats.org/officeDocument/2006/relationships/hyperlink" Id="rId21" Target="https://www.rentcafe.com/average-rent-market-trends/us/ma/marlborough/#:~:text=The%20average%20rent%20for%20an,the%20average%20rent%20was%20%242%2C456" TargetMode="External" /><Relationship Type="http://schemas.openxmlformats.org/officeDocument/2006/relationships/hyperlink" Id="rId40" Target="https://www.signalrealestate.com/blog/boston-multi-family-cap-rates-2025-complete-investor-guide/" TargetMode="External" /><Relationship Type="http://schemas.openxmlformats.org/officeDocument/2006/relationships/hyperlink" Id="rId23" Target="https://www.signalrealestate.com/blog/boston-multi-family-cap-rates-2025-complete-investor-guide/#:~:text=,7.5" TargetMode="External" /><Relationship Type="http://schemas.openxmlformats.org/officeDocument/2006/relationships/hyperlink" Id="rId32" Target="https://www.signalrealestate.com/blog/boston-multi-family-cap-rates-2025-complete-investor-guide/#:~:text=1,those%20with%20strong%20financing%20relationship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2026-02-03T00:17:09Z</dcterms:created>
  <dcterms:modified xsi:type="dcterms:W3CDTF">2026-02-03T00:17:09Z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