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fc74d7b2aaaafb09f7d546bd06d2baf3e70dd72"/>
    <w:p>
      <w:pPr>
        <w:pStyle w:val="Heading1"/>
      </w:pPr>
      <w:r>
        <w:t xml:space="preserve">On‑Market Investment Opportunities – Balanced vs Growth Profiles (Marlborough, MA)</w:t>
      </w:r>
    </w:p>
    <w:p>
      <w:pPr>
        <w:pStyle w:val="FirstParagraph"/>
      </w:pPr>
      <w:r>
        <w:t xml:space="preserve">This note re‑runs the MLS screening using the</w:t>
      </w:r>
      <w:r>
        <w:t xml:space="preserve"> </w:t>
      </w:r>
      <w:r>
        <w:rPr>
          <w:b/>
          <w:bCs/>
        </w:rPr>
        <w:t xml:space="preserve">balanced</w:t>
      </w:r>
      <w:r>
        <w:t xml:space="preserve"> </w:t>
      </w:r>
      <w:r>
        <w:t xml:space="preserve">and</w:t>
      </w:r>
      <w:r>
        <w:t xml:space="preserve"> </w:t>
      </w:r>
      <w:r>
        <w:rPr>
          <w:b/>
          <w:bCs/>
        </w:rPr>
        <w:t xml:space="preserve">growth‑oriented</w:t>
      </w:r>
      <w:r>
        <w:t xml:space="preserve"> </w:t>
      </w:r>
      <w:r>
        <w:t xml:space="preserve">profiles defined earlier. Balanced rules look for entry cap rates of ~5 % for single‑family/condo deals and ~5.5 % for multifamily, with value‑add candidates priced below the median on a per‑square‑foot basis. Growth rules accept lower initial yields (≈4.5 %) in exchange for upside from renovations, accessory dwelling units (ADUs) or aggressive rent increases. The analysis uses moderate rent assumptions derived from external data sources such as RentCafe and Rent.com</w:t>
      </w:r>
      <w:hyperlink r:id="rId21">
        <w:r>
          <w:rPr>
            <w:rStyle w:val="Hyperlink"/>
          </w:rPr>
          <w:t xml:space="preserve">[1]</w:t>
        </w:r>
      </w:hyperlink>
      <w:hyperlink r:id="rId22">
        <w:r>
          <w:rPr>
            <w:rStyle w:val="Hyperlink"/>
          </w:rPr>
          <w:t xml:space="preserve">[2]</w:t>
        </w:r>
      </w:hyperlink>
      <w:r>
        <w:t xml:space="preserve">, a 95 % occupancy factor, a 35 % operating expense ratio for value‑add deals and Marlborough’s FY 2025 residential tax rate (0.986 % of purchase price)</w:t>
      </w:r>
      <w:hyperlink r:id="rId23">
        <w:r>
          <w:rPr>
            <w:rStyle w:val="Hyperlink"/>
          </w:rPr>
          <w:t xml:space="preserve">[3]</w:t>
        </w:r>
      </w:hyperlink>
      <w:r>
        <w:t xml:space="preserve">. Aggressive rent assumptions were used to estimate potential stabilised cap rates for renovation plays.</w:t>
      </w:r>
    </w:p>
    <w:bookmarkStart w:id="29" w:name="summary-of-qualifying-opportunities"/>
    <w:p>
      <w:pPr>
        <w:pStyle w:val="Heading2"/>
      </w:pPr>
      <w:r>
        <w:t xml:space="preserve">Summary of Qualifying Opportunities</w:t>
      </w:r>
    </w:p>
    <w:p>
      <w:pPr>
        <w:pStyle w:val="FirstParagraph"/>
      </w:pPr>
      <w:r>
        <w:t xml:space="preserve">The table below lists the on‑market listings (as of February 2026) that meet the</w:t>
      </w:r>
      <w:r>
        <w:t xml:space="preserve"> </w:t>
      </w:r>
      <w:r>
        <w:rPr>
          <w:b/>
          <w:bCs/>
        </w:rPr>
        <w:t xml:space="preserve">balanced</w:t>
      </w:r>
      <w:r>
        <w:t xml:space="preserve"> </w:t>
      </w:r>
      <w:r>
        <w:t xml:space="preserve">or</w:t>
      </w:r>
      <w:r>
        <w:t xml:space="preserve"> </w:t>
      </w:r>
      <w:r>
        <w:rPr>
          <w:b/>
          <w:bCs/>
        </w:rPr>
        <w:t xml:space="preserve">growth</w:t>
      </w:r>
      <w:r>
        <w:t xml:space="preserve"> </w:t>
      </w:r>
      <w:r>
        <w:t xml:space="preserve">profile thresholds. Only properties with statuses “Active,” “New” or “Under Agreement” were considered. Each opportunity is labelled with the screening profile and the strategy that fits (value‑add/renovation or creative/ADU). Estimated entry and stabilised cap rates are shown using moderate and aggressive rent assumptions respectively. Stabilised cap rates for the creative strategy with an ADU reflect adding a ~900‑sq‑ft unit as allowed under Massachusetts’ new ADU law</w:t>
      </w:r>
      <w:hyperlink r:id="rId24">
        <w:r>
          <w:rPr>
            <w:rStyle w:val="Hyperlink"/>
          </w:rPr>
          <w:t xml:space="preserve">[4]</w:t>
        </w:r>
      </w:hyperlink>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MLS #</w:t>
            </w:r>
          </w:p>
        </w:tc>
        <w:tc>
          <w:tcPr/>
          <w:p>
            <w:pPr>
              <w:pStyle w:val="Compact"/>
            </w:pPr>
            <w:r>
              <w:t xml:space="preserve">Address</w:t>
            </w:r>
          </w:p>
        </w:tc>
        <w:tc>
          <w:tcPr/>
          <w:p>
            <w:pPr>
              <w:pStyle w:val="Compact"/>
            </w:pPr>
            <w:r>
              <w:t xml:space="preserve">Profile</w:t>
            </w:r>
          </w:p>
        </w:tc>
        <w:tc>
          <w:tcPr/>
          <w:p>
            <w:pPr>
              <w:pStyle w:val="Compact"/>
            </w:pPr>
            <w:r>
              <w:t xml:space="preserve">Strategy</w:t>
            </w:r>
          </w:p>
        </w:tc>
        <w:tc>
          <w:tcPr/>
          <w:p>
            <w:pPr>
              <w:pStyle w:val="Compact"/>
            </w:pPr>
            <w:r>
              <w:t xml:space="preserve">Beds</w:t>
            </w:r>
          </w:p>
        </w:tc>
        <w:tc>
          <w:tcPr/>
          <w:p>
            <w:pPr>
              <w:pStyle w:val="Compact"/>
            </w:pPr>
            <w:r>
              <w:t xml:space="preserve">List price</w:t>
            </w:r>
          </w:p>
        </w:tc>
        <w:tc>
          <w:tcPr/>
          <w:p>
            <w:pPr>
              <w:pStyle w:val="Compact"/>
            </w:pPr>
            <w:r>
              <w:t xml:space="preserve">Entry cap†</w:t>
            </w:r>
          </w:p>
        </w:tc>
        <w:tc>
          <w:tcPr/>
          <w:p>
            <w:pPr>
              <w:pStyle w:val="Compact"/>
            </w:pPr>
            <w:r>
              <w:t xml:space="preserve">Est. stabilised cap†</w:t>
            </w:r>
          </w:p>
        </w:tc>
        <w:tc>
          <w:tcPr/>
          <w:p>
            <w:pPr>
              <w:pStyle w:val="Compact"/>
            </w:pPr>
            <w:r>
              <w:t xml:space="preserve">Rationale</w:t>
            </w:r>
          </w:p>
        </w:tc>
      </w:tr>
      <w:tr>
        <w:tc>
          <w:tcPr/>
          <w:p>
            <w:pPr>
              <w:pStyle w:val="Compact"/>
            </w:pPr>
            <w:r>
              <w:rPr>
                <w:b/>
                <w:bCs/>
              </w:rPr>
              <w:t xml:space="preserve">73455427</w:t>
            </w:r>
          </w:p>
        </w:tc>
        <w:tc>
          <w:tcPr/>
          <w:p>
            <w:pPr>
              <w:pStyle w:val="Compact"/>
            </w:pPr>
            <w:r>
              <w:t xml:space="preserve">35 High St (Condo)</w:t>
            </w:r>
          </w:p>
        </w:tc>
        <w:tc>
          <w:tcPr/>
          <w:p>
            <w:pPr>
              <w:pStyle w:val="Compact"/>
            </w:pPr>
            <w:r>
              <w:rPr>
                <w:b/>
                <w:bCs/>
              </w:rPr>
              <w:t xml:space="preserve">Balanced / Growth</w:t>
            </w:r>
          </w:p>
        </w:tc>
        <w:tc>
          <w:tcPr/>
          <w:p>
            <w:pPr>
              <w:pStyle w:val="Compact"/>
            </w:pPr>
            <w:r>
              <w:rPr>
                <w:b/>
                <w:bCs/>
              </w:rPr>
              <w:t xml:space="preserve">Value‑add/Renovation</w:t>
            </w:r>
          </w:p>
        </w:tc>
        <w:tc>
          <w:tcPr/>
          <w:p>
            <w:pPr>
              <w:pStyle w:val="Compact"/>
            </w:pPr>
            <w:r>
              <w:t xml:space="preserve">1 br</w:t>
            </w:r>
          </w:p>
        </w:tc>
        <w:tc>
          <w:tcPr/>
          <w:p>
            <w:pPr>
              <w:pStyle w:val="Compact"/>
            </w:pPr>
            <w:r>
              <w:t xml:space="preserve">~$200k</w:t>
            </w:r>
          </w:p>
        </w:tc>
        <w:tc>
          <w:tcPr/>
          <w:p>
            <w:pPr>
              <w:pStyle w:val="Compact"/>
            </w:pPr>
            <w:r>
              <w:rPr>
                <w:b/>
                <w:bCs/>
              </w:rPr>
              <w:t xml:space="preserve">≈6.49 %</w:t>
            </w:r>
          </w:p>
        </w:tc>
        <w:tc>
          <w:tcPr/>
          <w:p>
            <w:pPr>
              <w:pStyle w:val="Compact"/>
            </w:pPr>
            <w:r>
              <w:rPr>
                <w:b/>
                <w:bCs/>
              </w:rPr>
              <w:t xml:space="preserve">≈9.57 %</w:t>
            </w:r>
          </w:p>
        </w:tc>
        <w:tc>
          <w:tcPr/>
          <w:p>
            <w:pPr>
              <w:pStyle w:val="Compact"/>
            </w:pPr>
            <w:r>
              <w:t xml:space="preserve">1979 vintage 1‑bed condo priced ~$239 / ft² (&lt; median $274 / ft²). Using moderate rents (~$2.02 k/mo) and a 35 % expense ratio yields a 6.5 % entry cap. Light cosmetic upgrades could justify aggressive rents (~$2.85 k/mo)</w:t>
            </w:r>
            <w:hyperlink r:id="rId21">
              <w:r>
                <w:rPr>
                  <w:rStyle w:val="Hyperlink"/>
                </w:rPr>
                <w:t xml:space="preserve">[1]</w:t>
              </w:r>
            </w:hyperlink>
            <w:r>
              <w:t xml:space="preserve">, driving the cap toward 9.6 %. High days‑on‑market (≈72 days) suggests seller flexibility.</w:t>
            </w:r>
          </w:p>
        </w:tc>
      </w:tr>
      <w:tr>
        <w:tc>
          <w:tcPr/>
          <w:p>
            <w:pPr>
              <w:pStyle w:val="Compact"/>
            </w:pPr>
            <w:r>
              <w:rPr>
                <w:b/>
                <w:bCs/>
              </w:rPr>
              <w:t xml:space="preserve">73454954</w:t>
            </w:r>
          </w:p>
        </w:tc>
        <w:tc>
          <w:tcPr/>
          <w:p>
            <w:pPr>
              <w:pStyle w:val="Compact"/>
            </w:pPr>
            <w:r>
              <w:t xml:space="preserve">102 Liberty St (SF)</w:t>
            </w:r>
          </w:p>
        </w:tc>
        <w:tc>
          <w:tcPr/>
          <w:p>
            <w:pPr>
              <w:pStyle w:val="Compact"/>
            </w:pPr>
            <w:r>
              <w:rPr>
                <w:b/>
                <w:bCs/>
              </w:rPr>
              <w:t xml:space="preserve">Growth only</w:t>
            </w:r>
          </w:p>
        </w:tc>
        <w:tc>
          <w:tcPr/>
          <w:p>
            <w:pPr>
              <w:pStyle w:val="Compact"/>
            </w:pPr>
            <w:r>
              <w:rPr>
                <w:b/>
                <w:bCs/>
              </w:rPr>
              <w:t xml:space="preserve">Value‑add/Renovation</w:t>
            </w:r>
          </w:p>
        </w:tc>
        <w:tc>
          <w:tcPr/>
          <w:p>
            <w:pPr>
              <w:pStyle w:val="Compact"/>
            </w:pPr>
            <w:r>
              <w:t xml:space="preserve">3 br</w:t>
            </w:r>
          </w:p>
        </w:tc>
        <w:tc>
          <w:tcPr/>
          <w:p>
            <w:pPr>
              <w:pStyle w:val="Compact"/>
            </w:pPr>
            <w:r>
              <w:t xml:space="preserve">~$408k</w:t>
            </w:r>
          </w:p>
        </w:tc>
        <w:tc>
          <w:tcPr/>
          <w:p>
            <w:pPr>
              <w:pStyle w:val="Compact"/>
            </w:pPr>
            <w:r>
              <w:rPr>
                <w:b/>
                <w:bCs/>
              </w:rPr>
              <w:t xml:space="preserve">≈4.90 %</w:t>
            </w:r>
          </w:p>
        </w:tc>
        <w:tc>
          <w:tcPr/>
          <w:p>
            <w:pPr>
              <w:pStyle w:val="Compact"/>
            </w:pPr>
            <w:r>
              <w:rPr>
                <w:b/>
                <w:bCs/>
              </w:rPr>
              <w:t xml:space="preserve">≈7.19 %</w:t>
            </w:r>
          </w:p>
        </w:tc>
        <w:tc>
          <w:tcPr/>
          <w:p>
            <w:pPr>
              <w:pStyle w:val="Compact"/>
            </w:pPr>
            <w:r>
              <w:t xml:space="preserve">1960 single‑family home on ~0.12 acres with 122 days on market. Using moderate 3‑bed rents (~$3.24 k/mo) and 35 % expenses gives a 4.9 % entry cap. Renovating kitchens and baths could raise rents toward $4.5 k/mo, pushing the cap above 7 %. Optional conversion to a two‑family may be possible if lot size and floor area meet Marlborough’s 1,800 sq ft/15,000 sq ft requirements</w:t>
            </w:r>
            <w:hyperlink r:id="rId25">
              <w:r>
                <w:rPr>
                  <w:rStyle w:val="Hyperlink"/>
                </w:rPr>
                <w:t xml:space="preserve">[5]</w:t>
              </w:r>
            </w:hyperlink>
            <w:r>
              <w:t xml:space="preserve">.</w:t>
            </w:r>
          </w:p>
        </w:tc>
      </w:tr>
      <w:tr>
        <w:tc>
          <w:tcPr/>
          <w:p>
            <w:pPr>
              <w:pStyle w:val="Compact"/>
            </w:pPr>
            <w:r>
              <w:rPr>
                <w:b/>
                <w:bCs/>
              </w:rPr>
              <w:t xml:space="preserve">73440035</w:t>
            </w:r>
          </w:p>
        </w:tc>
        <w:tc>
          <w:tcPr/>
          <w:p>
            <w:pPr>
              <w:pStyle w:val="Compact"/>
            </w:pPr>
            <w:r>
              <w:t xml:space="preserve">688 Boston Post Rd E (Condo)</w:t>
            </w:r>
          </w:p>
        </w:tc>
        <w:tc>
          <w:tcPr/>
          <w:p>
            <w:pPr>
              <w:pStyle w:val="Compact"/>
            </w:pPr>
            <w:r>
              <w:rPr>
                <w:b/>
                <w:bCs/>
              </w:rPr>
              <w:t xml:space="preserve">Growth only</w:t>
            </w:r>
          </w:p>
        </w:tc>
        <w:tc>
          <w:tcPr/>
          <w:p>
            <w:pPr>
              <w:pStyle w:val="Compact"/>
            </w:pPr>
            <w:r>
              <w:rPr>
                <w:b/>
                <w:bCs/>
              </w:rPr>
              <w:t xml:space="preserve">Value‑add/Renovation</w:t>
            </w:r>
          </w:p>
        </w:tc>
        <w:tc>
          <w:tcPr/>
          <w:p>
            <w:pPr>
              <w:pStyle w:val="Compact"/>
            </w:pPr>
            <w:r>
              <w:t xml:space="preserve">2 br</w:t>
            </w:r>
          </w:p>
        </w:tc>
        <w:tc>
          <w:tcPr/>
          <w:p>
            <w:pPr>
              <w:pStyle w:val="Compact"/>
            </w:pPr>
            <w:r>
              <w:t xml:space="preserve">~$269k</w:t>
            </w:r>
          </w:p>
        </w:tc>
        <w:tc>
          <w:tcPr/>
          <w:p>
            <w:pPr>
              <w:pStyle w:val="Compact"/>
            </w:pPr>
            <w:r>
              <w:rPr>
                <w:b/>
                <w:bCs/>
              </w:rPr>
              <w:t xml:space="preserve">≈5.73 %</w:t>
            </w:r>
          </w:p>
        </w:tc>
        <w:tc>
          <w:tcPr/>
          <w:p>
            <w:pPr>
              <w:pStyle w:val="Compact"/>
            </w:pPr>
            <w:r>
              <w:rPr>
                <w:b/>
                <w:bCs/>
              </w:rPr>
              <w:t xml:space="preserve">≈8.10 %</w:t>
            </w:r>
          </w:p>
        </w:tc>
        <w:tc>
          <w:tcPr/>
          <w:p>
            <w:pPr>
              <w:pStyle w:val="Compact"/>
            </w:pPr>
            <w:r>
              <w:t xml:space="preserve">1971 two‑bedroom condo listed around $278 / ft² (slightly above median). Moderate rents (~$2.44 k/mo) produce a 5.7 % cap; aggressive rents (~$3.3 k/mo) after upgrades and amenity enhancements could drive an 8.1 % cap. Proximity to new mixed‑use developments like Alta Marlborough</w:t>
            </w:r>
            <w:hyperlink r:id="rId26">
              <w:r>
                <w:rPr>
                  <w:rStyle w:val="Hyperlink"/>
                </w:rPr>
                <w:t xml:space="preserve">[6]</w:t>
              </w:r>
            </w:hyperlink>
            <w:r>
              <w:t xml:space="preserve"> </w:t>
            </w:r>
            <w:r>
              <w:t xml:space="preserve">supports rent growth potential.</w:t>
            </w:r>
          </w:p>
        </w:tc>
      </w:tr>
      <w:tr>
        <w:tc>
          <w:tcPr/>
          <w:p>
            <w:pPr>
              <w:pStyle w:val="Compact"/>
            </w:pPr>
            <w:r>
              <w:rPr>
                <w:b/>
                <w:bCs/>
              </w:rPr>
              <w:t xml:space="preserve">73398938</w:t>
            </w:r>
          </w:p>
        </w:tc>
        <w:tc>
          <w:tcPr/>
          <w:p>
            <w:pPr>
              <w:pStyle w:val="Compact"/>
            </w:pPr>
            <w:r>
              <w:t xml:space="preserve">30 Broad St (Condo)</w:t>
            </w:r>
          </w:p>
        </w:tc>
        <w:tc>
          <w:tcPr/>
          <w:p>
            <w:pPr>
              <w:pStyle w:val="Compact"/>
            </w:pPr>
            <w:r>
              <w:rPr>
                <w:b/>
                <w:bCs/>
              </w:rPr>
              <w:t xml:space="preserve">Growth only</w:t>
            </w:r>
          </w:p>
        </w:tc>
        <w:tc>
          <w:tcPr/>
          <w:p>
            <w:pPr>
              <w:pStyle w:val="Compact"/>
            </w:pPr>
            <w:r>
              <w:rPr>
                <w:b/>
                <w:bCs/>
              </w:rPr>
              <w:t xml:space="preserve">Value‑add/Renovation</w:t>
            </w:r>
          </w:p>
        </w:tc>
        <w:tc>
          <w:tcPr/>
          <w:p>
            <w:pPr>
              <w:pStyle w:val="Compact"/>
            </w:pPr>
            <w:r>
              <w:t xml:space="preserve">2 br</w:t>
            </w:r>
          </w:p>
        </w:tc>
        <w:tc>
          <w:tcPr/>
          <w:p>
            <w:pPr>
              <w:pStyle w:val="Compact"/>
            </w:pPr>
            <w:r>
              <w:t xml:space="preserve">~$365k</w:t>
            </w:r>
          </w:p>
        </w:tc>
        <w:tc>
          <w:tcPr/>
          <w:p>
            <w:pPr>
              <w:pStyle w:val="Compact"/>
            </w:pPr>
            <w:r>
              <w:rPr>
                <w:b/>
                <w:bCs/>
              </w:rPr>
              <w:t xml:space="preserve">≈3.96 %</w:t>
            </w:r>
          </w:p>
        </w:tc>
        <w:tc>
          <w:tcPr/>
          <w:p>
            <w:pPr>
              <w:pStyle w:val="Compact"/>
            </w:pPr>
            <w:r>
              <w:rPr>
                <w:b/>
                <w:bCs/>
              </w:rPr>
              <w:t xml:space="preserve">≈5.71 %</w:t>
            </w:r>
          </w:p>
        </w:tc>
        <w:tc>
          <w:tcPr/>
          <w:p>
            <w:pPr>
              <w:pStyle w:val="Compact"/>
            </w:pPr>
            <w:r>
              <w:t xml:space="preserve">1900 two‑bed condo with high DOM (≈213 days). The entry cap barely reaches 4 % under moderate rents (~$2.44 k/mo), but the property qualifies under the growth profile because it sits just below the revised 4 % threshold and is priced ≈5 % below the type’s upper quartile. Major renovations and aggressive rents could lift the cap into the mid‑5 % range, but this is a high‑risk play that relies on forced appreciation and potential conversion to a duplex.</w:t>
            </w:r>
          </w:p>
        </w:tc>
      </w:tr>
      <w:tr>
        <w:tc>
          <w:tcPr/>
          <w:p>
            <w:pPr>
              <w:pStyle w:val="Compact"/>
            </w:pPr>
            <w:r>
              <w:rPr>
                <w:b/>
                <w:bCs/>
              </w:rPr>
              <w:t xml:space="preserve">73459150</w:t>
            </w:r>
          </w:p>
        </w:tc>
        <w:tc>
          <w:tcPr/>
          <w:p>
            <w:pPr>
              <w:pStyle w:val="Compact"/>
            </w:pPr>
            <w:r>
              <w:t xml:space="preserve">111 Howe St (SF)</w:t>
            </w:r>
          </w:p>
        </w:tc>
        <w:tc>
          <w:tcPr/>
          <w:p>
            <w:pPr>
              <w:pStyle w:val="Compact"/>
            </w:pPr>
            <w:r>
              <w:rPr>
                <w:b/>
                <w:bCs/>
              </w:rPr>
              <w:t xml:space="preserve">Balanced (creative) / Growth</w:t>
            </w:r>
          </w:p>
        </w:tc>
        <w:tc>
          <w:tcPr/>
          <w:p>
            <w:pPr>
              <w:pStyle w:val="Compact"/>
            </w:pPr>
            <w:r>
              <w:rPr>
                <w:b/>
                <w:bCs/>
              </w:rPr>
              <w:t xml:space="preserve">Creative/ADU</w:t>
            </w:r>
          </w:p>
        </w:tc>
        <w:tc>
          <w:tcPr/>
          <w:p>
            <w:pPr>
              <w:pStyle w:val="Compact"/>
            </w:pPr>
            <w:r>
              <w:t xml:space="preserve">4 br (+ potential ADU)</w:t>
            </w:r>
          </w:p>
        </w:tc>
        <w:tc>
          <w:tcPr/>
          <w:p>
            <w:pPr>
              <w:pStyle w:val="Compact"/>
            </w:pPr>
            <w:r>
              <w:t xml:space="preserve">~$465k</w:t>
            </w:r>
          </w:p>
        </w:tc>
        <w:tc>
          <w:tcPr/>
          <w:p>
            <w:pPr>
              <w:pStyle w:val="Compact"/>
            </w:pPr>
            <w:r>
              <w:rPr>
                <w:b/>
                <w:bCs/>
              </w:rPr>
              <w:t xml:space="preserve">≈6.48 %</w:t>
            </w:r>
            <w:r>
              <w:t xml:space="preserve"> </w:t>
            </w:r>
            <w:r>
              <w:t xml:space="preserve">(core layout)</w:t>
            </w:r>
          </w:p>
        </w:tc>
        <w:tc>
          <w:tcPr/>
          <w:p>
            <w:pPr>
              <w:pStyle w:val="Compact"/>
            </w:pPr>
            <w:r>
              <w:rPr>
                <w:b/>
                <w:bCs/>
              </w:rPr>
              <w:t xml:space="preserve">≈7.94 %</w:t>
            </w:r>
            <w:r>
              <w:t xml:space="preserve"> </w:t>
            </w:r>
            <w:r>
              <w:t xml:space="preserve">(aggressive rent) or</w:t>
            </w:r>
            <w:r>
              <w:t xml:space="preserve"> </w:t>
            </w:r>
            <w:r>
              <w:rPr>
                <w:b/>
                <w:bCs/>
              </w:rPr>
              <w:t xml:space="preserve">≈9.9 %</w:t>
            </w:r>
            <w:r>
              <w:t xml:space="preserve"> </w:t>
            </w:r>
            <w:r>
              <w:t xml:space="preserve">(with ADU)</w:t>
            </w:r>
          </w:p>
        </w:tc>
        <w:tc>
          <w:tcPr/>
          <w:p>
            <w:pPr>
              <w:pStyle w:val="Compact"/>
            </w:pPr>
            <w:r>
              <w:t xml:space="preserve">1910 four‑bedroom home on ~0.10 acres. Using a 30 % expense ratio and moderate rent (~$4.35 k/mo) yields a 6.48 % cap—meeting the balanced creative threshold. Adding an accessory dwelling unit (~900 sq ft) as allowed by the new Massachusetts ADU law</w:t>
            </w:r>
            <w:hyperlink r:id="rId24">
              <w:r>
                <w:rPr>
                  <w:rStyle w:val="Hyperlink"/>
                </w:rPr>
                <w:t xml:space="preserve">[4]</w:t>
              </w:r>
            </w:hyperlink>
            <w:r>
              <w:t xml:space="preserve"> </w:t>
            </w:r>
            <w:r>
              <w:t xml:space="preserve">could generate an extra ~$2 k/mo. With a combined rental stream (house + ADU), the entry cap rises to ~7.6 % and stabilised cap to ~9.9 %. Renovation and permitting risks are higher, but the upside is significant.</w:t>
            </w:r>
          </w:p>
        </w:tc>
      </w:tr>
    </w:tbl>
    <w:p>
      <w:pPr>
        <w:pStyle w:val="BodyText"/>
      </w:pPr>
      <w:r>
        <w:t xml:space="preserve">†Cap rates reflect net operating income (NOI) divided by purchase price. Entry caps use moderate rent assumptions (midpoint between MLS and market averages), a 95 % occupancy factor and a 35 % expense ratio (30 % for creative strategies). Stabilised caps use aggressive rent assumptions (top quartile of market rents) and the same expense ratios.</w:t>
      </w:r>
    </w:p>
    <w:bookmarkStart w:id="28" w:name="observations"/>
    <w:p>
      <w:pPr>
        <w:pStyle w:val="Heading3"/>
      </w:pPr>
      <w:r>
        <w:t xml:space="preserve">Observations</w:t>
      </w:r>
    </w:p>
    <w:p>
      <w:pPr>
        <w:numPr>
          <w:ilvl w:val="0"/>
          <w:numId w:val="1001"/>
        </w:numPr>
      </w:pPr>
      <w:r>
        <w:rPr>
          <w:b/>
          <w:bCs/>
        </w:rPr>
        <w:t xml:space="preserve">Balanced profile:</w:t>
      </w:r>
      <w:r>
        <w:t xml:space="preserve"> </w:t>
      </w:r>
      <w:r>
        <w:t xml:space="preserve">Only</w:t>
      </w:r>
      <w:r>
        <w:t xml:space="preserve"> </w:t>
      </w:r>
      <w:r>
        <w:rPr>
          <w:b/>
          <w:bCs/>
        </w:rPr>
        <w:t xml:space="preserve">35 High St</w:t>
      </w:r>
      <w:r>
        <w:t xml:space="preserve"> </w:t>
      </w:r>
      <w:r>
        <w:t xml:space="preserve">met the balanced value‑add criteria; it offers a rare combination of high initial yield (&gt;6 %), below‑median price per square foot and straightforward renovation potential.</w:t>
      </w:r>
      <w:r>
        <w:t xml:space="preserve"> </w:t>
      </w:r>
      <w:r>
        <w:rPr>
          <w:b/>
          <w:bCs/>
        </w:rPr>
        <w:t xml:space="preserve">111 Howe St</w:t>
      </w:r>
      <w:r>
        <w:t xml:space="preserve"> </w:t>
      </w:r>
      <w:r>
        <w:t xml:space="preserve">qualifies under the balanced creative profile due to its strong entry cap and the option to add an ADU; however, this strategy assumes a lower expense ratio and requires permits and construction work.</w:t>
      </w:r>
    </w:p>
    <w:p>
      <w:pPr>
        <w:numPr>
          <w:ilvl w:val="0"/>
          <w:numId w:val="1001"/>
        </w:numPr>
      </w:pPr>
      <w:r>
        <w:rPr>
          <w:b/>
          <w:bCs/>
        </w:rPr>
        <w:t xml:space="preserve">Growth profile:</w:t>
      </w:r>
      <w:r>
        <w:t xml:space="preserve"> </w:t>
      </w:r>
      <w:r>
        <w:t xml:space="preserve">Four additional properties—</w:t>
      </w:r>
      <w:r>
        <w:rPr>
          <w:b/>
          <w:bCs/>
        </w:rPr>
        <w:t xml:space="preserve">102 Liberty St</w:t>
      </w:r>
      <w:r>
        <w:t xml:space="preserve">,</w:t>
      </w:r>
      <w:r>
        <w:t xml:space="preserve"> </w:t>
      </w:r>
      <w:r>
        <w:rPr>
          <w:b/>
          <w:bCs/>
        </w:rPr>
        <w:t xml:space="preserve">688 Boston Post Rd E</w:t>
      </w:r>
      <w:r>
        <w:t xml:space="preserve">,</w:t>
      </w:r>
      <w:r>
        <w:t xml:space="preserve"> </w:t>
      </w:r>
      <w:r>
        <w:rPr>
          <w:b/>
          <w:bCs/>
        </w:rPr>
        <w:t xml:space="preserve">30 Broad St</w:t>
      </w:r>
      <w:r>
        <w:t xml:space="preserve"> </w:t>
      </w:r>
      <w:r>
        <w:t xml:space="preserve">and</w:t>
      </w:r>
      <w:r>
        <w:t xml:space="preserve"> </w:t>
      </w:r>
      <w:r>
        <w:rPr>
          <w:b/>
          <w:bCs/>
        </w:rPr>
        <w:t xml:space="preserve">111 Howe St</w:t>
      </w:r>
      <w:r>
        <w:t xml:space="preserve"> </w:t>
      </w:r>
      <w:r>
        <w:t xml:space="preserve">(with an ADU)—qualify when entry cap thresholds are relaxed. These deals rely on either forced appreciation through renovation (value‑add) or the creation of new rentable space (creative). Rents must be increased to the upper end of the market (e.g., two‑bed apartments at ~$3.3 k/month and three‑bed houses at ~$4.5 k/month)</w:t>
      </w:r>
      <w:hyperlink r:id="rId21">
        <w:r>
          <w:rPr>
            <w:rStyle w:val="Hyperlink"/>
          </w:rPr>
          <w:t xml:space="preserve">[1]</w:t>
        </w:r>
      </w:hyperlink>
      <w:r>
        <w:t xml:space="preserve"> </w:t>
      </w:r>
      <w:r>
        <w:t xml:space="preserve">to achieve the pro‑forma caps.</w:t>
      </w:r>
    </w:p>
    <w:p>
      <w:pPr>
        <w:numPr>
          <w:ilvl w:val="0"/>
          <w:numId w:val="1001"/>
        </w:numPr>
      </w:pPr>
      <w:r>
        <w:rPr>
          <w:b/>
          <w:bCs/>
        </w:rPr>
        <w:t xml:space="preserve">Uncertainties:</w:t>
      </w:r>
      <w:r>
        <w:t xml:space="preserve"> </w:t>
      </w:r>
      <w:r>
        <w:t xml:space="preserve">Cap‑rate calculations are based on assumptions about rent levels, operating expenses and tax rates. Actual rents could vary depending on unit condition, neighborhood and regulation; for example, Massachusetts’ proposed rent‑control initiative would cap annual rent increases at CPI or 5 %</w:t>
      </w:r>
      <w:hyperlink r:id="rId27">
        <w:r>
          <w:rPr>
            <w:rStyle w:val="Hyperlink"/>
          </w:rPr>
          <w:t xml:space="preserve">[7]</w:t>
        </w:r>
      </w:hyperlink>
      <w:r>
        <w:t xml:space="preserve">. No unit‑count data are available for small multi‑family listings, so multifamily opportunities could not be properly evaluated. Buyers should conduct on‑site inspections, verify HOA fees for condos and consult local zoning codes before proceeding.</w:t>
      </w:r>
    </w:p>
    <w:p>
      <w:pPr>
        <w:pStyle w:val="FirstParagraph"/>
      </w:pPr>
      <w:r>
        <w:t xml:space="preserve">In conclusion, relaxing cap‑rate thresholds to the balanced and growth profiles increases the number of viable deals in Marlborough. Investors seeking moderate, market‑realistic returns can consider</w:t>
      </w:r>
      <w:r>
        <w:t xml:space="preserve"> </w:t>
      </w:r>
      <w:r>
        <w:rPr>
          <w:b/>
          <w:bCs/>
        </w:rPr>
        <w:t xml:space="preserve">35 High St</w:t>
      </w:r>
      <w:r>
        <w:t xml:space="preserve"> </w:t>
      </w:r>
      <w:r>
        <w:t xml:space="preserve">or</w:t>
      </w:r>
      <w:r>
        <w:t xml:space="preserve"> </w:t>
      </w:r>
      <w:r>
        <w:rPr>
          <w:b/>
          <w:bCs/>
        </w:rPr>
        <w:t xml:space="preserve">111 Howe St</w:t>
      </w:r>
      <w:r>
        <w:t xml:space="preserve">, while those willing to accept lower initial yields in exchange for significant upside may explore the growth‑oriented properties listed above. Each opportunity’s success will depend on executing renovations, capturing higher rents and managing regulatory and construction risks.</w:t>
      </w:r>
    </w:p>
    <w:bookmarkEnd w:id="28"/>
    <w:bookmarkEnd w:id="29"/>
    <w:bookmarkEnd w:id="30"/>
    <w:bookmarkEnd w:id="31"/>
    <w:p>
      <w:r>
        <w:pict>
          <v:rect style="width:0;height:1.5pt" o:hralign="center" o:hrstd="t" o:hr="t"/>
        </w:pict>
      </w:r>
    </w:p>
    <w:bookmarkStart w:id="39" w:name="citations"/>
    <w:p>
      <w:pPr>
        <w:pStyle w:val="FirstParagraph"/>
      </w:pPr>
      <w:hyperlink r:id="rId21">
        <w:r>
          <w:rPr>
            <w:rStyle w:val="Hyperlink"/>
          </w:rPr>
          <w:t xml:space="preserve">[1]</w:t>
        </w:r>
      </w:hyperlink>
      <w:r>
        <w:t xml:space="preserve"> </w:t>
      </w:r>
      <w:r>
        <w:t xml:space="preserve">Average Rent in Marlborough, MA: 2026 Rent Prices by Neighborhood</w:t>
      </w:r>
    </w:p>
    <w:p>
      <w:pPr>
        <w:pStyle w:val="BodyText"/>
      </w:pPr>
      <w:hyperlink r:id="rId32">
        <w:r>
          <w:rPr>
            <w:rStyle w:val="Hyperlink"/>
          </w:rPr>
          <w:t xml:space="preserve">https://www.rentcafe.com/average-rent-market-trends/us/ma/marlborough/</w:t>
        </w:r>
      </w:hyperlink>
    </w:p>
    <w:p>
      <w:pPr>
        <w:pStyle w:val="BodyText"/>
      </w:pPr>
      <w:hyperlink r:id="rId22">
        <w:r>
          <w:rPr>
            <w:rStyle w:val="Hyperlink"/>
          </w:rPr>
          <w:t xml:space="preserve">[2]</w:t>
        </w:r>
      </w:hyperlink>
      <w:r>
        <w:t xml:space="preserve"> </w:t>
      </w:r>
      <w:r>
        <w:t xml:space="preserve">Rental Market Trends &amp; Average Rent in Marlborough, MA</w:t>
      </w:r>
      <w:r>
        <w:t xml:space="preserve"> </w:t>
      </w:r>
      <w:r>
        <w:t xml:space="preserve">| Rent.</w:t>
      </w:r>
    </w:p>
    <w:p>
      <w:pPr>
        <w:pStyle w:val="BodyText"/>
      </w:pPr>
      <w:hyperlink r:id="rId33">
        <w:r>
          <w:rPr>
            <w:rStyle w:val="Hyperlink"/>
          </w:rPr>
          <w:t xml:space="preserve">https://www.rent.com/massachusetts/marlborough-apartments/rent-trends</w:t>
        </w:r>
      </w:hyperlink>
    </w:p>
    <w:p>
      <w:pPr>
        <w:pStyle w:val="BodyText"/>
      </w:pPr>
      <w:hyperlink r:id="rId23">
        <w:r>
          <w:rPr>
            <w:rStyle w:val="Hyperlink"/>
          </w:rPr>
          <w:t xml:space="preserve">[3]</w:t>
        </w:r>
      </w:hyperlink>
      <w:r>
        <w:t xml:space="preserve"> </w:t>
      </w:r>
      <w:r>
        <w:t xml:space="preserve">Fast Facts &amp; Data - Marlborough Economic Development Corporation</w:t>
      </w:r>
    </w:p>
    <w:p>
      <w:pPr>
        <w:pStyle w:val="BodyText"/>
      </w:pPr>
      <w:hyperlink r:id="rId34">
        <w:r>
          <w:rPr>
            <w:rStyle w:val="Hyperlink"/>
          </w:rPr>
          <w:t xml:space="preserve">https://marlboroughedc.com/fast-facts-data/</w:t>
        </w:r>
      </w:hyperlink>
    </w:p>
    <w:p>
      <w:pPr>
        <w:pStyle w:val="BodyText"/>
      </w:pPr>
      <w:hyperlink r:id="rId24">
        <w:r>
          <w:rPr>
            <w:rStyle w:val="Hyperlink"/>
          </w:rPr>
          <w:t xml:space="preserve">[4]</w:t>
        </w:r>
      </w:hyperlink>
      <w:r>
        <w:t xml:space="preserve"> </w:t>
      </w:r>
      <w:r>
        <w:t xml:space="preserve">Accessory Dwelling Units | Mass.gov</w:t>
      </w:r>
    </w:p>
    <w:p>
      <w:pPr>
        <w:pStyle w:val="BodyText"/>
      </w:pPr>
      <w:hyperlink r:id="rId35">
        <w:r>
          <w:rPr>
            <w:rStyle w:val="Hyperlink"/>
          </w:rPr>
          <w:t xml:space="preserve">https://www.mass.gov/info-details/accessory-dwelling-units</w:t>
        </w:r>
      </w:hyperlink>
    </w:p>
    <w:p>
      <w:pPr>
        <w:pStyle w:val="BodyText"/>
      </w:pPr>
      <w:hyperlink r:id="rId25">
        <w:r>
          <w:rPr>
            <w:rStyle w:val="Hyperlink"/>
          </w:rPr>
          <w:t xml:space="preserve">[5]</w:t>
        </w:r>
      </w:hyperlink>
      <w:r>
        <w:t xml:space="preserve"> </w:t>
      </w:r>
      <w:r>
        <w:t xml:space="preserve">City of Marlborough, MA Permitted Uses</w:t>
      </w:r>
    </w:p>
    <w:p>
      <w:pPr>
        <w:pStyle w:val="BodyText"/>
      </w:pPr>
      <w:hyperlink r:id="rId36">
        <w:r>
          <w:rPr>
            <w:rStyle w:val="Hyperlink"/>
          </w:rPr>
          <w:t xml:space="preserve">https://ecode360.com/9217014</w:t>
        </w:r>
      </w:hyperlink>
    </w:p>
    <w:p>
      <w:pPr>
        <w:pStyle w:val="BodyText"/>
      </w:pPr>
      <w:hyperlink r:id="rId26">
        <w:r>
          <w:rPr>
            <w:rStyle w:val="Hyperlink"/>
          </w:rPr>
          <w:t xml:space="preserve">[6]</w:t>
        </w:r>
      </w:hyperlink>
      <w:r>
        <w:t xml:space="preserve"> </w:t>
      </w:r>
      <w:r>
        <w:t xml:space="preserve">Exchange Place (JW Capital Partners, LLC) Mixed Use Project at 57 Main Street - Approved | Marlborough, MA</w:t>
      </w:r>
      <w:r>
        <w:t xml:space="preserve"> </w:t>
      </w:r>
    </w:p>
    <w:p>
      <w:pPr>
        <w:pStyle w:val="BodyText"/>
      </w:pPr>
      <w:hyperlink r:id="rId37">
        <w:r>
          <w:rPr>
            <w:rStyle w:val="Hyperlink"/>
          </w:rPr>
          <w:t xml:space="preserve">https://www.marlborough-ma.gov/539/Exchange-Place-JW-Capital-Partners-LLC-M</w:t>
        </w:r>
      </w:hyperlink>
    </w:p>
    <w:p>
      <w:pPr>
        <w:pStyle w:val="BodyText"/>
      </w:pPr>
      <w:hyperlink r:id="rId27">
        <w:r>
          <w:rPr>
            <w:rStyle w:val="Hyperlink"/>
          </w:rPr>
          <w:t xml:space="preserve">[7]</w:t>
        </w:r>
      </w:hyperlink>
      <w:r>
        <w:t xml:space="preserve"> </w:t>
      </w:r>
      <w:r>
        <w:t xml:space="preserve">download</w:t>
      </w:r>
    </w:p>
    <w:p>
      <w:pPr>
        <w:pStyle w:val="BodyText"/>
      </w:pPr>
      <w:hyperlink r:id="rId38">
        <w:r>
          <w:rPr>
            <w:rStyle w:val="Hyperlink"/>
          </w:rPr>
          <w:t xml:space="preserve">https://www.mass.gov/doc/final-summary-for-25-21-an-initiative-petition-to-protect-tenants-by-limiting-rent-increases/download</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ecode360.com/9217014" TargetMode="External" /><Relationship Type="http://schemas.openxmlformats.org/officeDocument/2006/relationships/hyperlink" Id="rId25" Target="https://ecode360.com/9217014#:~:text=Conversion%20of%20a%20single,accommodate%20two%20families%2C%20provided%20that" TargetMode="External" /><Relationship Type="http://schemas.openxmlformats.org/officeDocument/2006/relationships/hyperlink" Id="rId34" Target="https://marlboroughedc.com/fast-facts-data/" TargetMode="External" /><Relationship Type="http://schemas.openxmlformats.org/officeDocument/2006/relationships/hyperlink" Id="rId23" Target="https://marlboroughedc.com/fast-facts-data/#:~:text=FY%202025%20Tax%20Rates" TargetMode="External" /><Relationship Type="http://schemas.openxmlformats.org/officeDocument/2006/relationships/hyperlink" Id="rId37" Target="https://www.marlborough-ma.gov/539/Exchange-Place-JW-Capital-Partners-LLC-M" TargetMode="External" /><Relationship Type="http://schemas.openxmlformats.org/officeDocument/2006/relationships/hyperlink" Id="rId26" Target="https://www.marlborough-ma.gov/539/Exchange-Place-JW-Capital-Partners-LLC-M#:~:text=This%20project%20is%20seeking%20and,courtyard%20adjacent%20to%20Union%20Common" TargetMode="External" /><Relationship Type="http://schemas.openxmlformats.org/officeDocument/2006/relationships/hyperlink" Id="rId38" Target="https://www.mass.gov/doc/final-summary-for-25-21-an-initiative-petition-to-protect-tenants-by-limiting-rent-increases/download" TargetMode="External" /><Relationship Type="http://schemas.openxmlformats.org/officeDocument/2006/relationships/hyperlink" Id="rId27" Target="https://www.mass.gov/doc/final-summary-for-25-21-an-initiative-petition-to-protect-tenants-by-limiting-rent-increases/download#:~:text=This%20proposed%20law%20would%20limit,a%20violation%20of%20the%20state" TargetMode="External" /><Relationship Type="http://schemas.openxmlformats.org/officeDocument/2006/relationships/hyperlink" Id="rId35" Target="https://www.mass.gov/info-details/accessory-dwelling-units" TargetMode="External" /><Relationship Type="http://schemas.openxmlformats.org/officeDocument/2006/relationships/hyperlink" Id="rId24" Target="https://www.mass.gov/info-details/accessory-dwelling-units#:~:text=On%20Aug,will%20make%20a%20big%20difference" TargetMode="External" /><Relationship Type="http://schemas.openxmlformats.org/officeDocument/2006/relationships/hyperlink" Id="rId33" Target="https://www.rent.com/massachusetts/marlborough-apartments/rent-trends" TargetMode="External" /><Relationship Type="http://schemas.openxmlformats.org/officeDocument/2006/relationships/hyperlink" Id="rId22" Target="https://www.rent.com/massachusetts/marlborough-apartments/rent-trends#:~:text=Average%20Rent%20in%20Marlborough%2C%20MA" TargetMode="External" /><Relationship Type="http://schemas.openxmlformats.org/officeDocument/2006/relationships/hyperlink" Id="rId32" Target="https://www.rentcafe.com/average-rent-market-trends/us/ma/marlborough/" TargetMode="External" /><Relationship Type="http://schemas.openxmlformats.org/officeDocument/2006/relationships/hyperlink" Id="rId21" Target="https://www.rentcafe.com/average-rent-market-trends/us/ma/marlborough/#:~:text=The%20average%20rent%20for%20an,the%20average%20rent%20was%20%242%2C456" TargetMode="External" /></Relationships>
</file>

<file path=word/_rels/footnotes.xml.rels><?xml version="1.0" encoding="UTF-8"?><Relationships xmlns="http://schemas.openxmlformats.org/package/2006/relationships"><Relationship Type="http://schemas.openxmlformats.org/officeDocument/2006/relationships/hyperlink" Id="rId36" Target="https://ecode360.com/9217014" TargetMode="External" /><Relationship Type="http://schemas.openxmlformats.org/officeDocument/2006/relationships/hyperlink" Id="rId25" Target="https://ecode360.com/9217014#:~:text=Conversion%20of%20a%20single,accommodate%20two%20families%2C%20provided%20that" TargetMode="External" /><Relationship Type="http://schemas.openxmlformats.org/officeDocument/2006/relationships/hyperlink" Id="rId34" Target="https://marlboroughedc.com/fast-facts-data/" TargetMode="External" /><Relationship Type="http://schemas.openxmlformats.org/officeDocument/2006/relationships/hyperlink" Id="rId23" Target="https://marlboroughedc.com/fast-facts-data/#:~:text=FY%202025%20Tax%20Rates" TargetMode="External" /><Relationship Type="http://schemas.openxmlformats.org/officeDocument/2006/relationships/hyperlink" Id="rId37" Target="https://www.marlborough-ma.gov/539/Exchange-Place-JW-Capital-Partners-LLC-M" TargetMode="External" /><Relationship Type="http://schemas.openxmlformats.org/officeDocument/2006/relationships/hyperlink" Id="rId26" Target="https://www.marlborough-ma.gov/539/Exchange-Place-JW-Capital-Partners-LLC-M#:~:text=This%20project%20is%20seeking%20and,courtyard%20adjacent%20to%20Union%20Common" TargetMode="External" /><Relationship Type="http://schemas.openxmlformats.org/officeDocument/2006/relationships/hyperlink" Id="rId38" Target="https://www.mass.gov/doc/final-summary-for-25-21-an-initiative-petition-to-protect-tenants-by-limiting-rent-increases/download" TargetMode="External" /><Relationship Type="http://schemas.openxmlformats.org/officeDocument/2006/relationships/hyperlink" Id="rId27" Target="https://www.mass.gov/doc/final-summary-for-25-21-an-initiative-petition-to-protect-tenants-by-limiting-rent-increases/download#:~:text=This%20proposed%20law%20would%20limit,a%20violation%20of%20the%20state" TargetMode="External" /><Relationship Type="http://schemas.openxmlformats.org/officeDocument/2006/relationships/hyperlink" Id="rId35" Target="https://www.mass.gov/info-details/accessory-dwelling-units" TargetMode="External" /><Relationship Type="http://schemas.openxmlformats.org/officeDocument/2006/relationships/hyperlink" Id="rId24" Target="https://www.mass.gov/info-details/accessory-dwelling-units#:~:text=On%20Aug,will%20make%20a%20big%20difference" TargetMode="External" /><Relationship Type="http://schemas.openxmlformats.org/officeDocument/2006/relationships/hyperlink" Id="rId33" Target="https://www.rent.com/massachusetts/marlborough-apartments/rent-trends" TargetMode="External" /><Relationship Type="http://schemas.openxmlformats.org/officeDocument/2006/relationships/hyperlink" Id="rId22" Target="https://www.rent.com/massachusetts/marlborough-apartments/rent-trends#:~:text=Average%20Rent%20in%20Marlborough%2C%20MA" TargetMode="External" /><Relationship Type="http://schemas.openxmlformats.org/officeDocument/2006/relationships/hyperlink" Id="rId32" Target="https://www.rentcafe.com/average-rent-market-trends/us/ma/marlborough/" TargetMode="External" /><Relationship Type="http://schemas.openxmlformats.org/officeDocument/2006/relationships/hyperlink" Id="rId21" Target="https://www.rentcafe.com/average-rent-market-trends/us/ma/marlborough/#:~:text=The%20average%20rent%20for%20an,the%20average%20rent%20was%20%242%2C4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2026-02-03T00:47:53Z</dcterms:created>
  <dcterms:modified xsi:type="dcterms:W3CDTF">2026-02-03T00:47:53Z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