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7c9dfee36733f14a80bed7a9de7d7fc6ba950ce"/>
    <w:p>
      <w:pPr>
        <w:pStyle w:val="Heading1"/>
      </w:pPr>
      <w:r>
        <w:t xml:space="preserve">Opportunity Set: On‑Market Deals by Strategy</w:t>
      </w:r>
    </w:p>
    <w:p>
      <w:pPr>
        <w:pStyle w:val="FirstParagraph"/>
      </w:pPr>
      <w:r>
        <w:t xml:space="preserve">This document consolidates the Balanced and Growth‑oriented screening results into a single “Opportunity Set.” Each section corresponds to a distinct investment strategy (analogous to a tab in a future application). Within each section, qualifying on‑market properties are listed with key underwriting assumptions, estimated financials and notes on risks or unknowns. Rent estimates are based on the moderate and aggressive figures compiled from MLS and external data sources</w:t>
      </w:r>
      <w:hyperlink r:id="rId21">
        <w:r>
          <w:rPr>
            <w:rStyle w:val="Hyperlink"/>
          </w:rPr>
          <w:t xml:space="preserve">[1]</w:t>
        </w:r>
      </w:hyperlink>
      <w:hyperlink r:id="rId22">
        <w:r>
          <w:rPr>
            <w:rStyle w:val="Hyperlink"/>
          </w:rPr>
          <w:t xml:space="preserve">[2]</w:t>
        </w:r>
      </w:hyperlink>
      <w:r>
        <w:t xml:space="preserve">. Expense ratios and tax rates follow the deal‑selection logic defined earlier.</w:t>
      </w:r>
    </w:p>
    <w:bookmarkStart w:id="26" w:name="valueadd-renovation"/>
    <w:p>
      <w:pPr>
        <w:pStyle w:val="Heading2"/>
      </w:pPr>
      <w:r>
        <w:t xml:space="preserve">Value‑Add / Renovation</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MLS #</w:t>
            </w:r>
          </w:p>
        </w:tc>
        <w:tc>
          <w:tcPr/>
          <w:p>
            <w:pPr>
              <w:pStyle w:val="Compact"/>
            </w:pPr>
            <w:r>
              <w:t xml:space="preserve">Address</w:t>
            </w:r>
          </w:p>
        </w:tc>
        <w:tc>
          <w:tcPr/>
          <w:p>
            <w:pPr>
              <w:pStyle w:val="Compact"/>
            </w:pPr>
            <w:r>
              <w:t xml:space="preserve">Type</w:t>
            </w:r>
          </w:p>
        </w:tc>
        <w:tc>
          <w:tcPr/>
          <w:p>
            <w:pPr>
              <w:pStyle w:val="Compact"/>
            </w:pPr>
            <w:r>
              <w:t xml:space="preserve">List price</w:t>
            </w:r>
          </w:p>
        </w:tc>
        <w:tc>
          <w:tcPr/>
          <w:p>
            <w:pPr>
              <w:pStyle w:val="Compact"/>
            </w:pPr>
            <w:r>
              <w:t xml:space="preserve">Est. rent (moderate → aggressive)</w:t>
            </w:r>
          </w:p>
        </w:tc>
        <w:tc>
          <w:tcPr/>
          <w:p>
            <w:pPr>
              <w:pStyle w:val="Compact"/>
            </w:pPr>
            <w:r>
              <w:t xml:space="preserve">Expense assumptions</w:t>
            </w:r>
          </w:p>
        </w:tc>
        <w:tc>
          <w:tcPr/>
          <w:p>
            <w:pPr>
              <w:pStyle w:val="Compact"/>
            </w:pPr>
            <w:r>
              <w:t xml:space="preserve">Est. entry NOI &amp; cap</w:t>
            </w:r>
          </w:p>
        </w:tc>
        <w:tc>
          <w:tcPr/>
          <w:p>
            <w:pPr>
              <w:pStyle w:val="Compact"/>
            </w:pPr>
            <w:r>
              <w:t xml:space="preserve">Est. stabilised NOI &amp; cap</w:t>
            </w:r>
          </w:p>
        </w:tc>
        <w:tc>
          <w:tcPr/>
          <w:p>
            <w:pPr>
              <w:pStyle w:val="Compact"/>
            </w:pPr>
            <w:r>
              <w:t xml:space="preserve">Key risks / unknowns</w:t>
            </w:r>
          </w:p>
        </w:tc>
        <w:tc>
          <w:tcPr/>
          <w:p>
            <w:pPr>
              <w:pStyle w:val="Compact"/>
            </w:pPr>
            <w:r>
              <w:t xml:space="preserve">Qualifying profile(s)</w:t>
            </w:r>
          </w:p>
        </w:tc>
      </w:tr>
      <w:tr>
        <w:tc>
          <w:tcPr/>
          <w:p>
            <w:pPr>
              <w:pStyle w:val="Compact"/>
            </w:pPr>
            <w:r>
              <w:rPr>
                <w:b/>
                <w:bCs/>
              </w:rPr>
              <w:t xml:space="preserve">73455427</w:t>
            </w:r>
          </w:p>
        </w:tc>
        <w:tc>
          <w:tcPr/>
          <w:p>
            <w:pPr>
              <w:pStyle w:val="Compact"/>
            </w:pPr>
            <w:r>
              <w:t xml:space="preserve">35 High St</w:t>
            </w:r>
          </w:p>
        </w:tc>
        <w:tc>
          <w:tcPr/>
          <w:p>
            <w:pPr>
              <w:pStyle w:val="Compact"/>
            </w:pPr>
            <w:r>
              <w:t xml:space="preserve">Condo (1 br)</w:t>
            </w:r>
          </w:p>
        </w:tc>
        <w:tc>
          <w:tcPr/>
          <w:p>
            <w:pPr>
              <w:pStyle w:val="Compact"/>
            </w:pPr>
            <w:r>
              <w:t xml:space="preserve">~$200,000</w:t>
            </w:r>
          </w:p>
        </w:tc>
        <w:tc>
          <w:tcPr/>
          <w:p>
            <w:pPr>
              <w:pStyle w:val="Compact"/>
            </w:pPr>
            <w:r>
              <w:rPr>
                <w:b/>
                <w:bCs/>
              </w:rPr>
              <w:t xml:space="preserve">$2,018→$2,850/mo</w:t>
            </w:r>
            <w:r>
              <w:t xml:space="preserve"> </w:t>
            </w:r>
            <w:r>
              <w:t xml:space="preserve">– midpoint between MLS median for 1‑br rentals (~$1.6k) and RentCafe/Rentometer averages (~$2.4k–$2.8k)</w:t>
            </w:r>
            <w:hyperlink r:id="rId21">
              <w:r>
                <w:rPr>
                  <w:rStyle w:val="Hyperlink"/>
                </w:rPr>
                <w:t xml:space="preserve">[1]</w:t>
              </w:r>
            </w:hyperlink>
          </w:p>
        </w:tc>
        <w:tc>
          <w:tcPr/>
          <w:p>
            <w:pPr>
              <w:pStyle w:val="Compact"/>
            </w:pPr>
            <w:r>
              <w:t xml:space="preserve">Operating expenses assumed</w:t>
            </w:r>
            <w:r>
              <w:t xml:space="preserve"> </w:t>
            </w:r>
            <w:r>
              <w:rPr>
                <w:b/>
                <w:bCs/>
              </w:rPr>
              <w:t xml:space="preserve">35 %</w:t>
            </w:r>
            <w:r>
              <w:t xml:space="preserve"> </w:t>
            </w:r>
            <w:r>
              <w:t xml:space="preserve">of gross rent; vacancy</w:t>
            </w:r>
            <w:r>
              <w:t xml:space="preserve"> </w:t>
            </w:r>
            <w:r>
              <w:rPr>
                <w:b/>
                <w:bCs/>
              </w:rPr>
              <w:t xml:space="preserve">5 %</w:t>
            </w:r>
            <w:r>
              <w:t xml:space="preserve">; tax rate</w:t>
            </w:r>
            <w:r>
              <w:t xml:space="preserve"> </w:t>
            </w:r>
            <w:r>
              <w:rPr>
                <w:b/>
                <w:bCs/>
              </w:rPr>
              <w:t xml:space="preserve">0.986 %</w:t>
            </w:r>
            <w:r>
              <w:t xml:space="preserve"> </w:t>
            </w:r>
            <w:r>
              <w:t xml:space="preserve">of price</w:t>
            </w:r>
          </w:p>
        </w:tc>
        <w:tc>
          <w:tcPr/>
          <w:p>
            <w:pPr>
              <w:pStyle w:val="Compact"/>
            </w:pPr>
            <w:r>
              <w:t xml:space="preserve">NOI ≈</w:t>
            </w:r>
            <w:r>
              <w:t xml:space="preserve"> </w:t>
            </w:r>
            <w:r>
              <w:rPr>
                <w:b/>
                <w:bCs/>
              </w:rPr>
              <w:t xml:space="preserve">$12,981</w:t>
            </w:r>
            <w:r>
              <w:t xml:space="preserve">;</w:t>
            </w:r>
            <w:r>
              <w:t xml:space="preserve"> </w:t>
            </w:r>
            <w:r>
              <w:rPr>
                <w:b/>
                <w:bCs/>
              </w:rPr>
              <w:t xml:space="preserve">6.49 %</w:t>
            </w:r>
            <w:r>
              <w:t xml:space="preserve"> </w:t>
            </w:r>
            <w:r>
              <w:t xml:space="preserve">entry cap</w:t>
            </w:r>
          </w:p>
        </w:tc>
        <w:tc>
          <w:tcPr/>
          <w:p>
            <w:pPr>
              <w:pStyle w:val="Compact"/>
            </w:pPr>
            <w:r>
              <w:t xml:space="preserve">NOI ≈</w:t>
            </w:r>
            <w:r>
              <w:t xml:space="preserve"> </w:t>
            </w:r>
            <w:r>
              <w:rPr>
                <w:b/>
                <w:bCs/>
              </w:rPr>
              <w:t xml:space="preserve">$19,147</w:t>
            </w:r>
            <w:r>
              <w:t xml:space="preserve">;</w:t>
            </w:r>
            <w:r>
              <w:t xml:space="preserve"> </w:t>
            </w:r>
            <w:r>
              <w:rPr>
                <w:b/>
                <w:bCs/>
              </w:rPr>
              <w:t xml:space="preserve">9.57 %</w:t>
            </w:r>
            <w:r>
              <w:t xml:space="preserve"> </w:t>
            </w:r>
            <w:r>
              <w:t xml:space="preserve">cap after cosmetic upgrades and rent lift</w:t>
            </w:r>
          </w:p>
        </w:tc>
        <w:tc>
          <w:tcPr/>
          <w:p>
            <w:pPr>
              <w:pStyle w:val="Compact"/>
            </w:pPr>
            <w:r>
              <w:t xml:space="preserve">Unknown HOA fee; unit condition; ability to achieve higher rent depends on quality of renovation and building rules; confirm vacancy history</w:t>
            </w:r>
          </w:p>
        </w:tc>
        <w:tc>
          <w:tcPr/>
          <w:p>
            <w:pPr>
              <w:pStyle w:val="Compact"/>
            </w:pPr>
            <w:r>
              <w:rPr>
                <w:b/>
                <w:bCs/>
              </w:rPr>
              <w:t xml:space="preserve">Balanced, Growth</w:t>
            </w:r>
            <w:r>
              <w:t xml:space="preserve"> </w:t>
            </w:r>
            <w:r>
              <w:t xml:space="preserve">(meets ≥5 % &amp; ≥4.5 % cap thresholds)</w:t>
            </w:r>
          </w:p>
        </w:tc>
      </w:tr>
      <w:tr>
        <w:tc>
          <w:tcPr/>
          <w:p>
            <w:pPr>
              <w:pStyle w:val="Compact"/>
            </w:pPr>
            <w:r>
              <w:rPr>
                <w:b/>
                <w:bCs/>
              </w:rPr>
              <w:t xml:space="preserve">73454954</w:t>
            </w:r>
          </w:p>
        </w:tc>
        <w:tc>
          <w:tcPr/>
          <w:p>
            <w:pPr>
              <w:pStyle w:val="Compact"/>
            </w:pPr>
            <w:r>
              <w:t xml:space="preserve">102 Liberty St</w:t>
            </w:r>
          </w:p>
        </w:tc>
        <w:tc>
          <w:tcPr/>
          <w:p>
            <w:pPr>
              <w:pStyle w:val="Compact"/>
            </w:pPr>
            <w:r>
              <w:t xml:space="preserve">Single‑family (3 br)</w:t>
            </w:r>
          </w:p>
        </w:tc>
        <w:tc>
          <w:tcPr/>
          <w:p>
            <w:pPr>
              <w:pStyle w:val="Compact"/>
            </w:pPr>
            <w:r>
              <w:t xml:space="preserve">~$408,000</w:t>
            </w:r>
          </w:p>
        </w:tc>
        <w:tc>
          <w:tcPr/>
          <w:p>
            <w:pPr>
              <w:pStyle w:val="Compact"/>
            </w:pPr>
            <w:r>
              <w:rPr>
                <w:b/>
                <w:bCs/>
              </w:rPr>
              <w:t xml:space="preserve">$3,241→$4,500/mo</w:t>
            </w:r>
            <w:r>
              <w:t xml:space="preserve"> </w:t>
            </w:r>
            <w:r>
              <w:t xml:space="preserve">– moderate rent based on 3‑br averages (~$3.2k); aggressive reflects high‑end SF rents (~$4.5k)</w:t>
            </w:r>
            <w:hyperlink r:id="rId21">
              <w:r>
                <w:rPr>
                  <w:rStyle w:val="Hyperlink"/>
                </w:rPr>
                <w:t xml:space="preserve">[1]</w:t>
              </w:r>
            </w:hyperlink>
          </w:p>
        </w:tc>
        <w:tc>
          <w:tcPr/>
          <w:p>
            <w:pPr>
              <w:pStyle w:val="Compact"/>
            </w:pPr>
            <w:r>
              <w:t xml:space="preserve">Expenses</w:t>
            </w:r>
            <w:r>
              <w:t xml:space="preserve"> </w:t>
            </w:r>
            <w:r>
              <w:rPr>
                <w:b/>
                <w:bCs/>
              </w:rPr>
              <w:t xml:space="preserve">35 %</w:t>
            </w:r>
            <w:r>
              <w:t xml:space="preserve"> </w:t>
            </w:r>
            <w:r>
              <w:t xml:space="preserve">of rent; vacancy</w:t>
            </w:r>
            <w:r>
              <w:t xml:space="preserve"> </w:t>
            </w:r>
            <w:r>
              <w:rPr>
                <w:b/>
                <w:bCs/>
              </w:rPr>
              <w:t xml:space="preserve">5 %</w:t>
            </w:r>
            <w:r>
              <w:t xml:space="preserve">; tax</w:t>
            </w:r>
            <w:r>
              <w:t xml:space="preserve"> </w:t>
            </w:r>
            <w:r>
              <w:rPr>
                <w:b/>
                <w:bCs/>
              </w:rPr>
              <w:t xml:space="preserve">0.986 %</w:t>
            </w:r>
          </w:p>
        </w:tc>
        <w:tc>
          <w:tcPr/>
          <w:p>
            <w:pPr>
              <w:pStyle w:val="Compact"/>
            </w:pPr>
            <w:r>
              <w:t xml:space="preserve">NOI ≈</w:t>
            </w:r>
            <w:r>
              <w:t xml:space="preserve"> </w:t>
            </w:r>
            <w:r>
              <w:rPr>
                <w:b/>
                <w:bCs/>
              </w:rPr>
              <w:t xml:space="preserve">$20,780</w:t>
            </w:r>
            <w:r>
              <w:t xml:space="preserve">;</w:t>
            </w:r>
            <w:r>
              <w:t xml:space="preserve"> </w:t>
            </w:r>
            <w:r>
              <w:rPr>
                <w:b/>
                <w:bCs/>
              </w:rPr>
              <w:t xml:space="preserve">4.90 %</w:t>
            </w:r>
            <w:r>
              <w:t xml:space="preserve"> </w:t>
            </w:r>
            <w:r>
              <w:t xml:space="preserve">entry cap</w:t>
            </w:r>
          </w:p>
        </w:tc>
        <w:tc>
          <w:tcPr/>
          <w:p>
            <w:pPr>
              <w:pStyle w:val="Compact"/>
            </w:pPr>
            <w:r>
              <w:t xml:space="preserve">NOI ≈</w:t>
            </w:r>
            <w:r>
              <w:t xml:space="preserve"> </w:t>
            </w:r>
            <w:r>
              <w:rPr>
                <w:b/>
                <w:bCs/>
              </w:rPr>
              <w:t xml:space="preserve">$29,321</w:t>
            </w:r>
            <w:r>
              <w:t xml:space="preserve">;</w:t>
            </w:r>
            <w:r>
              <w:t xml:space="preserve"> </w:t>
            </w:r>
            <w:r>
              <w:rPr>
                <w:b/>
                <w:bCs/>
              </w:rPr>
              <w:t xml:space="preserve">7.19 %</w:t>
            </w:r>
            <w:r>
              <w:t xml:space="preserve"> </w:t>
            </w:r>
            <w:r>
              <w:t xml:space="preserve">stabilised cap after full renovation</w:t>
            </w:r>
          </w:p>
        </w:tc>
        <w:tc>
          <w:tcPr/>
          <w:p>
            <w:pPr>
              <w:pStyle w:val="Compact"/>
            </w:pPr>
            <w:r>
              <w:t xml:space="preserve">Built 1960; high days on market (~122); PSF slightly above median; unknown renovation budget; confirm feasibility of two‑family conversion under zoning</w:t>
            </w:r>
            <w:hyperlink r:id="rId23">
              <w:r>
                <w:rPr>
                  <w:rStyle w:val="Hyperlink"/>
                </w:rPr>
                <w:t xml:space="preserve">[3]</w:t>
              </w:r>
            </w:hyperlink>
            <w:r>
              <w:t xml:space="preserve">; verify mechanical systems</w:t>
            </w:r>
          </w:p>
        </w:tc>
        <w:tc>
          <w:tcPr/>
          <w:p>
            <w:pPr>
              <w:pStyle w:val="Compact"/>
            </w:pPr>
            <w:r>
              <w:rPr>
                <w:b/>
                <w:bCs/>
              </w:rPr>
              <w:t xml:space="preserve">Growth</w:t>
            </w:r>
            <w:r>
              <w:t xml:space="preserve"> </w:t>
            </w:r>
            <w:r>
              <w:t xml:space="preserve">(below balanced cap floor but within growth band)</w:t>
            </w:r>
          </w:p>
        </w:tc>
      </w:tr>
      <w:tr>
        <w:tc>
          <w:tcPr/>
          <w:p>
            <w:pPr>
              <w:pStyle w:val="Compact"/>
            </w:pPr>
            <w:r>
              <w:rPr>
                <w:b/>
                <w:bCs/>
              </w:rPr>
              <w:t xml:space="preserve">73440035</w:t>
            </w:r>
          </w:p>
        </w:tc>
        <w:tc>
          <w:tcPr/>
          <w:p>
            <w:pPr>
              <w:pStyle w:val="Compact"/>
            </w:pPr>
            <w:r>
              <w:t xml:space="preserve">688 Boston Post Rd E</w:t>
            </w:r>
          </w:p>
        </w:tc>
        <w:tc>
          <w:tcPr/>
          <w:p>
            <w:pPr>
              <w:pStyle w:val="Compact"/>
            </w:pPr>
            <w:r>
              <w:t xml:space="preserve">Condo (2 br)</w:t>
            </w:r>
          </w:p>
        </w:tc>
        <w:tc>
          <w:tcPr/>
          <w:p>
            <w:pPr>
              <w:pStyle w:val="Compact"/>
            </w:pPr>
            <w:r>
              <w:t xml:space="preserve">~$269,000</w:t>
            </w:r>
          </w:p>
        </w:tc>
        <w:tc>
          <w:tcPr/>
          <w:p>
            <w:pPr>
              <w:pStyle w:val="Compact"/>
            </w:pPr>
            <w:r>
              <w:rPr>
                <w:b/>
                <w:bCs/>
              </w:rPr>
              <w:t xml:space="preserve">$2,437→$3,300/mo</w:t>
            </w:r>
            <w:r>
              <w:t xml:space="preserve"> </w:t>
            </w:r>
            <w:r>
              <w:t xml:space="preserve">– moderate rent from MLS and external medians; aggressive assumes new‑build level ($3.3k)</w:t>
            </w:r>
            <w:hyperlink r:id="rId21">
              <w:r>
                <w:rPr>
                  <w:rStyle w:val="Hyperlink"/>
                </w:rPr>
                <w:t xml:space="preserve">[1]</w:t>
              </w:r>
            </w:hyperlink>
          </w:p>
        </w:tc>
        <w:tc>
          <w:tcPr/>
          <w:p>
            <w:pPr>
              <w:pStyle w:val="Compact"/>
            </w:pPr>
            <w:r>
              <w:t xml:space="preserve">Expenses</w:t>
            </w:r>
            <w:r>
              <w:t xml:space="preserve"> </w:t>
            </w:r>
            <w:r>
              <w:rPr>
                <w:b/>
                <w:bCs/>
              </w:rPr>
              <w:t xml:space="preserve">35 %</w:t>
            </w:r>
            <w:r>
              <w:t xml:space="preserve">; vacancy</w:t>
            </w:r>
            <w:r>
              <w:t xml:space="preserve"> </w:t>
            </w:r>
            <w:r>
              <w:rPr>
                <w:b/>
                <w:bCs/>
              </w:rPr>
              <w:t xml:space="preserve">5 %</w:t>
            </w:r>
            <w:r>
              <w:t xml:space="preserve">; tax</w:t>
            </w:r>
            <w:r>
              <w:t xml:space="preserve"> </w:t>
            </w:r>
            <w:r>
              <w:rPr>
                <w:b/>
                <w:bCs/>
              </w:rPr>
              <w:t xml:space="preserve">0.986 %</w:t>
            </w:r>
          </w:p>
        </w:tc>
        <w:tc>
          <w:tcPr/>
          <w:p>
            <w:pPr>
              <w:pStyle w:val="Compact"/>
            </w:pPr>
            <w:r>
              <w:t xml:space="preserve">NOI ≈</w:t>
            </w:r>
            <w:r>
              <w:t xml:space="preserve"> </w:t>
            </w:r>
            <w:r>
              <w:rPr>
                <w:b/>
                <w:bCs/>
              </w:rPr>
              <w:t xml:space="preserve">$15,396</w:t>
            </w:r>
            <w:r>
              <w:t xml:space="preserve">;</w:t>
            </w:r>
            <w:r>
              <w:t xml:space="preserve"> </w:t>
            </w:r>
            <w:r>
              <w:rPr>
                <w:b/>
                <w:bCs/>
              </w:rPr>
              <w:t xml:space="preserve">5.73 %</w:t>
            </w:r>
            <w:r>
              <w:t xml:space="preserve"> </w:t>
            </w:r>
            <w:r>
              <w:t xml:space="preserve">entry cap</w:t>
            </w:r>
          </w:p>
        </w:tc>
        <w:tc>
          <w:tcPr/>
          <w:p>
            <w:pPr>
              <w:pStyle w:val="Compact"/>
            </w:pPr>
            <w:r>
              <w:t xml:space="preserve">NOI ≈</w:t>
            </w:r>
            <w:r>
              <w:t xml:space="preserve"> </w:t>
            </w:r>
            <w:r>
              <w:rPr>
                <w:b/>
                <w:bCs/>
              </w:rPr>
              <w:t xml:space="preserve">$21,812</w:t>
            </w:r>
            <w:r>
              <w:t xml:space="preserve">;</w:t>
            </w:r>
            <w:r>
              <w:t xml:space="preserve"> </w:t>
            </w:r>
            <w:r>
              <w:rPr>
                <w:b/>
                <w:bCs/>
              </w:rPr>
              <w:t xml:space="preserve">8.10 %</w:t>
            </w:r>
            <w:r>
              <w:t xml:space="preserve"> </w:t>
            </w:r>
            <w:r>
              <w:t xml:space="preserve">stabilised cap</w:t>
            </w:r>
          </w:p>
        </w:tc>
        <w:tc>
          <w:tcPr/>
          <w:p>
            <w:pPr>
              <w:pStyle w:val="Compact"/>
            </w:pPr>
            <w:r>
              <w:t xml:space="preserve">Unknown HOA fee; unit is in 1971 complex and may need updates; confirm ability to increase rent and demand at that price point; verify condo reserve balance and assessments</w:t>
            </w:r>
          </w:p>
        </w:tc>
        <w:tc>
          <w:tcPr/>
          <w:p>
            <w:pPr>
              <w:pStyle w:val="Compact"/>
            </w:pPr>
            <w:r>
              <w:rPr>
                <w:b/>
                <w:bCs/>
              </w:rPr>
              <w:t xml:space="preserve">Growth</w:t>
            </w:r>
          </w:p>
        </w:tc>
      </w:tr>
      <w:tr>
        <w:tc>
          <w:tcPr/>
          <w:p>
            <w:pPr>
              <w:pStyle w:val="Compact"/>
            </w:pPr>
            <w:r>
              <w:rPr>
                <w:b/>
                <w:bCs/>
              </w:rPr>
              <w:t xml:space="preserve">73398938</w:t>
            </w:r>
          </w:p>
        </w:tc>
        <w:tc>
          <w:tcPr/>
          <w:p>
            <w:pPr>
              <w:pStyle w:val="Compact"/>
            </w:pPr>
            <w:r>
              <w:t xml:space="preserve">30 Broad St</w:t>
            </w:r>
          </w:p>
        </w:tc>
        <w:tc>
          <w:tcPr/>
          <w:p>
            <w:pPr>
              <w:pStyle w:val="Compact"/>
            </w:pPr>
            <w:r>
              <w:t xml:space="preserve">Condo (2 br)</w:t>
            </w:r>
          </w:p>
        </w:tc>
        <w:tc>
          <w:tcPr/>
          <w:p>
            <w:pPr>
              <w:pStyle w:val="Compact"/>
            </w:pPr>
            <w:r>
              <w:t xml:space="preserve">~$365,000</w:t>
            </w:r>
          </w:p>
        </w:tc>
        <w:tc>
          <w:tcPr/>
          <w:p>
            <w:pPr>
              <w:pStyle w:val="Compact"/>
            </w:pPr>
            <w:r>
              <w:rPr>
                <w:b/>
                <w:bCs/>
              </w:rPr>
              <w:t xml:space="preserve">$2,437→$3,300/mo</w:t>
            </w:r>
            <w:r>
              <w:t xml:space="preserve"> </w:t>
            </w:r>
            <w:r>
              <w:t xml:space="preserve">– same logic as above</w:t>
            </w:r>
          </w:p>
        </w:tc>
        <w:tc>
          <w:tcPr/>
          <w:p>
            <w:pPr>
              <w:pStyle w:val="Compact"/>
            </w:pPr>
            <w:r>
              <w:t xml:space="preserve">Expenses</w:t>
            </w:r>
            <w:r>
              <w:t xml:space="preserve"> </w:t>
            </w:r>
            <w:r>
              <w:rPr>
                <w:b/>
                <w:bCs/>
              </w:rPr>
              <w:t xml:space="preserve">35 %</w:t>
            </w:r>
            <w:r>
              <w:t xml:space="preserve">; vacancy</w:t>
            </w:r>
            <w:r>
              <w:t xml:space="preserve"> </w:t>
            </w:r>
            <w:r>
              <w:rPr>
                <w:b/>
                <w:bCs/>
              </w:rPr>
              <w:t xml:space="preserve">5 %</w:t>
            </w:r>
            <w:r>
              <w:t xml:space="preserve">; tax</w:t>
            </w:r>
            <w:r>
              <w:t xml:space="preserve"> </w:t>
            </w:r>
            <w:r>
              <w:rPr>
                <w:b/>
                <w:bCs/>
              </w:rPr>
              <w:t xml:space="preserve">0.986 %</w:t>
            </w:r>
          </w:p>
        </w:tc>
        <w:tc>
          <w:tcPr/>
          <w:p>
            <w:pPr>
              <w:pStyle w:val="Compact"/>
            </w:pPr>
            <w:r>
              <w:t xml:space="preserve">NOI ≈</w:t>
            </w:r>
            <w:r>
              <w:t xml:space="preserve"> </w:t>
            </w:r>
            <w:r>
              <w:rPr>
                <w:b/>
                <w:bCs/>
              </w:rPr>
              <w:t xml:space="preserve">$14,420</w:t>
            </w:r>
            <w:r>
              <w:t xml:space="preserve">;</w:t>
            </w:r>
            <w:r>
              <w:t xml:space="preserve"> </w:t>
            </w:r>
            <w:r>
              <w:rPr>
                <w:b/>
                <w:bCs/>
              </w:rPr>
              <w:t xml:space="preserve">3.96 %</w:t>
            </w:r>
            <w:r>
              <w:t xml:space="preserve"> </w:t>
            </w:r>
            <w:r>
              <w:t xml:space="preserve">entry cap</w:t>
            </w:r>
          </w:p>
        </w:tc>
        <w:tc>
          <w:tcPr/>
          <w:p>
            <w:pPr>
              <w:pStyle w:val="Compact"/>
            </w:pPr>
            <w:r>
              <w:t xml:space="preserve">NOI ≈</w:t>
            </w:r>
            <w:r>
              <w:t xml:space="preserve"> </w:t>
            </w:r>
            <w:r>
              <w:rPr>
                <w:b/>
                <w:bCs/>
              </w:rPr>
              <w:t xml:space="preserve">$20,856</w:t>
            </w:r>
            <w:r>
              <w:t xml:space="preserve">;</w:t>
            </w:r>
            <w:r>
              <w:t xml:space="preserve"> </w:t>
            </w:r>
            <w:r>
              <w:rPr>
                <w:b/>
                <w:bCs/>
              </w:rPr>
              <w:t xml:space="preserve">5.71 %</w:t>
            </w:r>
            <w:r>
              <w:t xml:space="preserve"> </w:t>
            </w:r>
            <w:r>
              <w:t xml:space="preserve">stabilised cap</w:t>
            </w:r>
          </w:p>
        </w:tc>
        <w:tc>
          <w:tcPr/>
          <w:p>
            <w:pPr>
              <w:pStyle w:val="Compact"/>
            </w:pPr>
            <w:r>
              <w:t xml:space="preserve">Built 1900; high DOM (~213); major renovation likely; low initial yield – success depends on heavy value‑add and rent growth; verify structural condition and condo rules</w:t>
            </w:r>
          </w:p>
        </w:tc>
        <w:tc>
          <w:tcPr/>
          <w:p>
            <w:pPr>
              <w:pStyle w:val="Compact"/>
            </w:pPr>
            <w:r>
              <w:rPr>
                <w:b/>
                <w:bCs/>
              </w:rPr>
              <w:t xml:space="preserve">Growth</w:t>
            </w:r>
            <w:r>
              <w:t xml:space="preserve"> </w:t>
            </w:r>
            <w:r>
              <w:t xml:space="preserve">(qualifies due to relaxed 4 % cap band, but higher risk)</w:t>
            </w:r>
          </w:p>
        </w:tc>
      </w:tr>
    </w:tbl>
    <w:bookmarkStart w:id="25" w:name="notes"/>
    <w:p>
      <w:pPr>
        <w:pStyle w:val="Heading3"/>
      </w:pPr>
      <w:r>
        <w:t xml:space="preserve">Notes</w:t>
      </w:r>
    </w:p>
    <w:p>
      <w:pPr>
        <w:pStyle w:val="Compact"/>
        <w:numPr>
          <w:ilvl w:val="0"/>
          <w:numId w:val="1001"/>
        </w:numPr>
      </w:pPr>
      <w:r>
        <w:t xml:space="preserve">Value‑add deals assume that renovations and repositioning will increase rents toward the aggressive figures. Expense ratios rise to 35 % to reflect higher maintenance and capital expenditures in older properties. Taxes use Marlborough’s FY 2025 residential rate (0.986 % of assessed value)</w:t>
      </w:r>
      <w:hyperlink r:id="rId24">
        <w:r>
          <w:rPr>
            <w:rStyle w:val="Hyperlink"/>
          </w:rPr>
          <w:t xml:space="preserve">[4]</w:t>
        </w:r>
      </w:hyperlink>
      <w:r>
        <w:t xml:space="preserve">.</w:t>
      </w:r>
    </w:p>
    <w:p>
      <w:pPr>
        <w:pStyle w:val="Compact"/>
        <w:numPr>
          <w:ilvl w:val="0"/>
          <w:numId w:val="1001"/>
        </w:numPr>
      </w:pPr>
      <w:r>
        <w:t xml:space="preserve">Unknowns include HOA fees for condos, interior condition, permit requirements for major renovations and the ability to achieve target rents. Investors should inspect units, review condo documents and obtain contractor estimates before proceeding.</w:t>
      </w:r>
    </w:p>
    <w:bookmarkEnd w:id="25"/>
    <w:bookmarkEnd w:id="26"/>
    <w:bookmarkStart w:id="29" w:name="X6ae0b21d7e6458f52105c1b2780efe57a95465c"/>
    <w:p>
      <w:pPr>
        <w:pStyle w:val="Heading2"/>
      </w:pPr>
      <w:r>
        <w:t xml:space="preserve">Creative / ADU (Co‑Living / Accessory Dwelling Unit)</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MLS #</w:t>
            </w:r>
          </w:p>
        </w:tc>
        <w:tc>
          <w:tcPr/>
          <w:p>
            <w:pPr>
              <w:pStyle w:val="Compact"/>
            </w:pPr>
            <w:r>
              <w:t xml:space="preserve">Address</w:t>
            </w:r>
          </w:p>
        </w:tc>
        <w:tc>
          <w:tcPr/>
          <w:p>
            <w:pPr>
              <w:pStyle w:val="Compact"/>
            </w:pPr>
            <w:r>
              <w:t xml:space="preserve">Type</w:t>
            </w:r>
          </w:p>
        </w:tc>
        <w:tc>
          <w:tcPr/>
          <w:p>
            <w:pPr>
              <w:pStyle w:val="Compact"/>
            </w:pPr>
            <w:r>
              <w:t xml:space="preserve">List price</w:t>
            </w:r>
          </w:p>
        </w:tc>
        <w:tc>
          <w:tcPr/>
          <w:p>
            <w:pPr>
              <w:pStyle w:val="Compact"/>
            </w:pPr>
            <w:r>
              <w:t xml:space="preserve">Est. rent &amp; logic</w:t>
            </w:r>
          </w:p>
        </w:tc>
        <w:tc>
          <w:tcPr/>
          <w:p>
            <w:pPr>
              <w:pStyle w:val="Compact"/>
            </w:pPr>
            <w:r>
              <w:t xml:space="preserve">Expense assumptions</w:t>
            </w:r>
          </w:p>
        </w:tc>
        <w:tc>
          <w:tcPr/>
          <w:p>
            <w:pPr>
              <w:pStyle w:val="Compact"/>
            </w:pPr>
            <w:r>
              <w:t xml:space="preserve">Est. entry NOI &amp; cap</w:t>
            </w:r>
          </w:p>
        </w:tc>
        <w:tc>
          <w:tcPr/>
          <w:p>
            <w:pPr>
              <w:pStyle w:val="Compact"/>
            </w:pPr>
            <w:r>
              <w:t xml:space="preserve">Est. stabilised NOI &amp; cap</w:t>
            </w:r>
          </w:p>
        </w:tc>
        <w:tc>
          <w:tcPr/>
          <w:p>
            <w:pPr>
              <w:pStyle w:val="Compact"/>
            </w:pPr>
            <w:r>
              <w:t xml:space="preserve">Key risks / unknowns</w:t>
            </w:r>
          </w:p>
        </w:tc>
        <w:tc>
          <w:tcPr/>
          <w:p>
            <w:pPr>
              <w:pStyle w:val="Compact"/>
            </w:pPr>
            <w:r>
              <w:t xml:space="preserve">Qualifying profile(s)</w:t>
            </w:r>
          </w:p>
        </w:tc>
      </w:tr>
      <w:tr>
        <w:tc>
          <w:tcPr/>
          <w:p>
            <w:pPr>
              <w:pStyle w:val="Compact"/>
            </w:pPr>
            <w:r>
              <w:rPr>
                <w:b/>
                <w:bCs/>
              </w:rPr>
              <w:t xml:space="preserve">73459150</w:t>
            </w:r>
          </w:p>
        </w:tc>
        <w:tc>
          <w:tcPr/>
          <w:p>
            <w:pPr>
              <w:pStyle w:val="Compact"/>
            </w:pPr>
            <w:r>
              <w:t xml:space="preserve">111 Howe St</w:t>
            </w:r>
          </w:p>
        </w:tc>
        <w:tc>
          <w:tcPr/>
          <w:p>
            <w:pPr>
              <w:pStyle w:val="Compact"/>
            </w:pPr>
            <w:r>
              <w:t xml:space="preserve">Single‑family (4 br + potential ADU)</w:t>
            </w:r>
          </w:p>
        </w:tc>
        <w:tc>
          <w:tcPr/>
          <w:p>
            <w:pPr>
              <w:pStyle w:val="Compact"/>
            </w:pPr>
            <w:r>
              <w:t xml:space="preserve">~$465,000</w:t>
            </w:r>
          </w:p>
        </w:tc>
        <w:tc>
          <w:tcPr/>
          <w:p>
            <w:pPr>
              <w:pStyle w:val="Compact"/>
            </w:pPr>
            <w:r>
              <w:rPr>
                <w:b/>
                <w:bCs/>
              </w:rPr>
              <w:t xml:space="preserve">House: $4,350→$5,200/mo</w:t>
            </w:r>
            <w:r>
              <w:t xml:space="preserve"> </w:t>
            </w:r>
            <w:r>
              <w:t xml:space="preserve">– moderate rent for 4‑br homes (~$4.35k); aggressive reflects top‑tier SF rents (~$5.2k)</w:t>
            </w:r>
            <w:hyperlink r:id="rId21">
              <w:r>
                <w:rPr>
                  <w:rStyle w:val="Hyperlink"/>
                </w:rPr>
                <w:t xml:space="preserve">[1]</w:t>
              </w:r>
            </w:hyperlink>
            <w:r>
              <w:t xml:space="preserve">.</w:t>
            </w:r>
            <w:r>
              <w:t xml:space="preserve"> </w:t>
            </w:r>
            <w:r>
              <w:rPr>
                <w:b/>
                <w:bCs/>
              </w:rPr>
              <w:t xml:space="preserve">ADU: $2,018→$2,850/mo</w:t>
            </w:r>
            <w:r>
              <w:t xml:space="preserve"> </w:t>
            </w:r>
            <w:r>
              <w:t xml:space="preserve">– moderate and aggressive rents for a 1‑br accessory unit.</w:t>
            </w:r>
          </w:p>
        </w:tc>
        <w:tc>
          <w:tcPr/>
          <w:p>
            <w:pPr>
              <w:pStyle w:val="Compact"/>
            </w:pPr>
            <w:r>
              <w:t xml:space="preserve">Expenses assumed</w:t>
            </w:r>
            <w:r>
              <w:t xml:space="preserve"> </w:t>
            </w:r>
            <w:r>
              <w:rPr>
                <w:b/>
                <w:bCs/>
              </w:rPr>
              <w:t xml:space="preserve">30 %</w:t>
            </w:r>
            <w:r>
              <w:t xml:space="preserve"> </w:t>
            </w:r>
            <w:r>
              <w:t xml:space="preserve">for balanced creative scenario;</w:t>
            </w:r>
            <w:r>
              <w:t xml:space="preserve"> </w:t>
            </w:r>
            <w:r>
              <w:rPr>
                <w:b/>
                <w:bCs/>
              </w:rPr>
              <w:t xml:space="preserve">45 %</w:t>
            </w:r>
            <w:r>
              <w:t xml:space="preserve"> </w:t>
            </w:r>
            <w:r>
              <w:t xml:space="preserve">for growth/ADU scenario to reflect higher turnover and management costs; vacancy</w:t>
            </w:r>
            <w:r>
              <w:t xml:space="preserve"> </w:t>
            </w:r>
            <w:r>
              <w:rPr>
                <w:b/>
                <w:bCs/>
              </w:rPr>
              <w:t xml:space="preserve">5 %</w:t>
            </w:r>
            <w:r>
              <w:t xml:space="preserve">; tax</w:t>
            </w:r>
            <w:r>
              <w:t xml:space="preserve"> </w:t>
            </w:r>
            <w:r>
              <w:rPr>
                <w:b/>
                <w:bCs/>
              </w:rPr>
              <w:t xml:space="preserve">0.986 %</w:t>
            </w:r>
          </w:p>
        </w:tc>
        <w:tc>
          <w:tcPr/>
          <w:p>
            <w:pPr>
              <w:pStyle w:val="Compact"/>
            </w:pPr>
            <w:r>
              <w:rPr>
                <w:b/>
                <w:bCs/>
              </w:rPr>
              <w:t xml:space="preserve">Balanced (core layout):</w:t>
            </w:r>
            <w:r>
              <w:t xml:space="preserve"> </w:t>
            </w:r>
            <w:r>
              <w:t xml:space="preserve">NOI ≈ $30,128;</w:t>
            </w:r>
            <w:r>
              <w:t xml:space="preserve"> </w:t>
            </w:r>
            <w:r>
              <w:rPr>
                <w:b/>
                <w:bCs/>
              </w:rPr>
              <w:t xml:space="preserve">6.48 %</w:t>
            </w:r>
            <w:r>
              <w:t xml:space="preserve"> </w:t>
            </w:r>
            <w:r>
              <w:t xml:space="preserve">entry cap (house only, 30 % expenses).</w:t>
            </w:r>
            <w:r>
              <w:t xml:space="preserve"> </w:t>
            </w:r>
            <w:r>
              <w:rPr>
                <w:b/>
                <w:bCs/>
              </w:rPr>
              <w:t xml:space="preserve">Growth (house + ADU):</w:t>
            </w:r>
            <w:r>
              <w:t xml:space="preserve"> </w:t>
            </w:r>
            <w:r>
              <w:t xml:space="preserve">NOI ≈ $35,342;</w:t>
            </w:r>
            <w:r>
              <w:t xml:space="preserve"> </w:t>
            </w:r>
            <w:r>
              <w:rPr>
                <w:b/>
                <w:bCs/>
              </w:rPr>
              <w:t xml:space="preserve">7.60 %</w:t>
            </w:r>
            <w:r>
              <w:t xml:space="preserve"> </w:t>
            </w:r>
            <w:r>
              <w:t xml:space="preserve">entry cap (house + ADU, 45 % expenses).</w:t>
            </w:r>
          </w:p>
        </w:tc>
        <w:tc>
          <w:tcPr/>
          <w:p>
            <w:pPr>
              <w:pStyle w:val="Compact"/>
            </w:pPr>
            <w:r>
              <w:rPr>
                <w:b/>
                <w:bCs/>
              </w:rPr>
              <w:t xml:space="preserve">Balanced:</w:t>
            </w:r>
            <w:r>
              <w:t xml:space="preserve"> </w:t>
            </w:r>
            <w:r>
              <w:t xml:space="preserve">Stabilised NOI ≈ $36,911;</w:t>
            </w:r>
            <w:r>
              <w:t xml:space="preserve"> </w:t>
            </w:r>
            <w:r>
              <w:rPr>
                <w:b/>
                <w:bCs/>
              </w:rPr>
              <w:t xml:space="preserve">7.94 %</w:t>
            </w:r>
            <w:r>
              <w:t xml:space="preserve"> </w:t>
            </w:r>
            <w:r>
              <w:t xml:space="preserve">cap with higher house rent.</w:t>
            </w:r>
            <w:r>
              <w:t xml:space="preserve"> </w:t>
            </w:r>
            <w:r>
              <w:rPr>
                <w:b/>
                <w:bCs/>
              </w:rPr>
              <w:t xml:space="preserve">Growth:</w:t>
            </w:r>
            <w:r>
              <w:t xml:space="preserve"> </w:t>
            </w:r>
            <w:r>
              <w:t xml:space="preserve">Stabilised NOI ≈ $45,533;</w:t>
            </w:r>
            <w:r>
              <w:t xml:space="preserve"> </w:t>
            </w:r>
            <w:r>
              <w:rPr>
                <w:b/>
                <w:bCs/>
              </w:rPr>
              <w:t xml:space="preserve">9.79 %</w:t>
            </w:r>
            <w:r>
              <w:t xml:space="preserve"> </w:t>
            </w:r>
            <w:r>
              <w:t xml:space="preserve">cap when renting both house and ADU at aggressive levels.</w:t>
            </w:r>
          </w:p>
        </w:tc>
        <w:tc>
          <w:tcPr/>
          <w:p>
            <w:pPr>
              <w:pStyle w:val="Compact"/>
            </w:pPr>
            <w:r>
              <w:t xml:space="preserve">1910 property may need significant upgrades; must build and permit a ~900 sq ft ADU; ensure zoning compliance under the new Massachusetts ADU law (allows ADUs up to 900 sq ft by right)</w:t>
            </w:r>
            <w:hyperlink r:id="rId27">
              <w:r>
                <w:rPr>
                  <w:rStyle w:val="Hyperlink"/>
                </w:rPr>
                <w:t xml:space="preserve">[5]</w:t>
              </w:r>
            </w:hyperlink>
            <w:r>
              <w:t xml:space="preserve">; confirm demand for co‑living or short‑term rental; manage higher operating costs and tenant turnover.</w:t>
            </w:r>
          </w:p>
        </w:tc>
        <w:tc>
          <w:tcPr/>
          <w:p>
            <w:pPr>
              <w:pStyle w:val="Compact"/>
            </w:pPr>
            <w:r>
              <w:rPr>
                <w:b/>
                <w:bCs/>
              </w:rPr>
              <w:t xml:space="preserve">Balanced (creative), Growth (creative/ADU)</w:t>
            </w:r>
          </w:p>
        </w:tc>
      </w:tr>
    </w:tbl>
    <w:bookmarkStart w:id="28" w:name="notes-1"/>
    <w:p>
      <w:pPr>
        <w:pStyle w:val="Heading3"/>
      </w:pPr>
      <w:r>
        <w:t xml:space="preserve">Notes</w:t>
      </w:r>
    </w:p>
    <w:p>
      <w:pPr>
        <w:pStyle w:val="Compact"/>
        <w:numPr>
          <w:ilvl w:val="0"/>
          <w:numId w:val="1002"/>
        </w:numPr>
      </w:pPr>
      <w:r>
        <w:t xml:space="preserve">The creative profile focuses on properties with layouts conducive to co‑living or with sufficient space to add an accessory dwelling unit. Cap rates are calculated using higher expense ratios to account for furnishings, utilities and vacancy risk. The ADU scenario assumes construction of an additional ~900‑sq‑ft 1‑bed unit and rents based on moderate and aggressive assumptions for one‑bed apartments.</w:t>
      </w:r>
    </w:p>
    <w:p>
      <w:pPr>
        <w:pStyle w:val="Compact"/>
        <w:numPr>
          <w:ilvl w:val="0"/>
          <w:numId w:val="1002"/>
        </w:numPr>
      </w:pPr>
      <w:r>
        <w:t xml:space="preserve">Investors must verify that the property meets zoning and building code requirements for ADUs and budget appropriately for construction, including potential infrastructure (parking, separate utilities) and permitting costs.</w:t>
      </w:r>
    </w:p>
    <w:bookmarkEnd w:id="28"/>
    <w:bookmarkEnd w:id="29"/>
    <w:bookmarkStart w:id="30" w:name="conclusion"/>
    <w:p>
      <w:pPr>
        <w:pStyle w:val="Heading2"/>
      </w:pPr>
      <w:r>
        <w:t xml:space="preserve">Conclusion</w:t>
      </w:r>
    </w:p>
    <w:p>
      <w:pPr>
        <w:pStyle w:val="FirstParagraph"/>
      </w:pPr>
      <w:r>
        <w:t xml:space="preserve">The</w:t>
      </w:r>
      <w:r>
        <w:t xml:space="preserve"> </w:t>
      </w:r>
      <w:r>
        <w:rPr>
          <w:b/>
          <w:bCs/>
        </w:rPr>
        <w:t xml:space="preserve">Opportunity Set</w:t>
      </w:r>
      <w:r>
        <w:t xml:space="preserve"> </w:t>
      </w:r>
      <w:r>
        <w:t xml:space="preserve">illustrates that relaxing cap‑rate floors (Balanced and Growth profiles) brings additional properties into consideration.</w:t>
      </w:r>
      <w:r>
        <w:t xml:space="preserve"> </w:t>
      </w:r>
      <w:r>
        <w:rPr>
          <w:b/>
          <w:bCs/>
        </w:rPr>
        <w:t xml:space="preserve">35 High St</w:t>
      </w:r>
      <w:r>
        <w:t xml:space="preserve"> </w:t>
      </w:r>
      <w:r>
        <w:t xml:space="preserve">stands out as the only deal meeting both balanced and growth criteria.</w:t>
      </w:r>
      <w:r>
        <w:t xml:space="preserve"> </w:t>
      </w:r>
      <w:r>
        <w:rPr>
          <w:b/>
          <w:bCs/>
        </w:rPr>
        <w:t xml:space="preserve">111 Howe St</w:t>
      </w:r>
      <w:r>
        <w:t xml:space="preserve"> </w:t>
      </w:r>
      <w:r>
        <w:t xml:space="preserve">offers creative upside through an ADU but carries greater execution risk. The remaining value‑add properties (</w:t>
      </w:r>
      <w:r>
        <w:rPr>
          <w:b/>
          <w:bCs/>
        </w:rPr>
        <w:t xml:space="preserve">102 Liberty St</w:t>
      </w:r>
      <w:r>
        <w:t xml:space="preserve">,</w:t>
      </w:r>
      <w:r>
        <w:t xml:space="preserve"> </w:t>
      </w:r>
      <w:r>
        <w:rPr>
          <w:b/>
          <w:bCs/>
        </w:rPr>
        <w:t xml:space="preserve">688 Boston Post Rd E</w:t>
      </w:r>
      <w:r>
        <w:t xml:space="preserve">,</w:t>
      </w:r>
      <w:r>
        <w:t xml:space="preserve"> </w:t>
      </w:r>
      <w:r>
        <w:rPr>
          <w:b/>
          <w:bCs/>
        </w:rPr>
        <w:t xml:space="preserve">30 Broad St</w:t>
      </w:r>
      <w:r>
        <w:t xml:space="preserve">) are suitable for growth‑oriented investors willing to accept lower initial yields for future rent increases and appreciation. All opportunities require further due diligence to confirm rents, expenses, renovation scope and regulatory compliance.</w:t>
      </w:r>
    </w:p>
    <w:bookmarkEnd w:id="30"/>
    <w:bookmarkEnd w:id="31"/>
    <w:bookmarkEnd w:id="32"/>
    <w:p>
      <w:r>
        <w:pict>
          <v:rect style="width:0;height:1.5pt" o:hralign="center" o:hrstd="t" o:hr="t"/>
        </w:pict>
      </w:r>
    </w:p>
    <w:bookmarkStart w:id="38" w:name="citations"/>
    <w:p>
      <w:pPr>
        <w:pStyle w:val="FirstParagraph"/>
      </w:pPr>
      <w:hyperlink r:id="rId21">
        <w:r>
          <w:rPr>
            <w:rStyle w:val="Hyperlink"/>
          </w:rPr>
          <w:t xml:space="preserve">[1]</w:t>
        </w:r>
      </w:hyperlink>
      <w:r>
        <w:t xml:space="preserve"> </w:t>
      </w:r>
      <w:r>
        <w:t xml:space="preserve">Average Rent in Marlborough, MA: 2026 Rent Prices by Neighborhood</w:t>
      </w:r>
    </w:p>
    <w:p>
      <w:pPr>
        <w:pStyle w:val="BodyText"/>
      </w:pPr>
      <w:hyperlink r:id="rId33">
        <w:r>
          <w:rPr>
            <w:rStyle w:val="Hyperlink"/>
          </w:rPr>
          <w:t xml:space="preserve">https://www.rentcafe.com/average-rent-market-trends/us/ma/marlborough/</w:t>
        </w:r>
      </w:hyperlink>
    </w:p>
    <w:p>
      <w:pPr>
        <w:pStyle w:val="BodyText"/>
      </w:pPr>
      <w:hyperlink r:id="rId22">
        <w:r>
          <w:rPr>
            <w:rStyle w:val="Hyperlink"/>
          </w:rPr>
          <w:t xml:space="preserve">[2]</w:t>
        </w:r>
      </w:hyperlink>
      <w:r>
        <w:t xml:space="preserve"> </w:t>
      </w:r>
      <w:r>
        <w:t xml:space="preserve">Rental Market Trends &amp; Average Rent in Marlborough, MA</w:t>
      </w:r>
      <w:r>
        <w:t xml:space="preserve"> </w:t>
      </w:r>
      <w:r>
        <w:t xml:space="preserve">| Rent.</w:t>
      </w:r>
    </w:p>
    <w:p>
      <w:pPr>
        <w:pStyle w:val="BodyText"/>
      </w:pPr>
      <w:hyperlink r:id="rId34">
        <w:r>
          <w:rPr>
            <w:rStyle w:val="Hyperlink"/>
          </w:rPr>
          <w:t xml:space="preserve">https://www.rent.com/massachusetts/marlborough-apartments/rent-trends</w:t>
        </w:r>
      </w:hyperlink>
    </w:p>
    <w:p>
      <w:pPr>
        <w:pStyle w:val="BodyText"/>
      </w:pPr>
      <w:hyperlink r:id="rId23">
        <w:r>
          <w:rPr>
            <w:rStyle w:val="Hyperlink"/>
          </w:rPr>
          <w:t xml:space="preserve">[3]</w:t>
        </w:r>
      </w:hyperlink>
      <w:r>
        <w:t xml:space="preserve"> </w:t>
      </w:r>
      <w:r>
        <w:t xml:space="preserve">City of Marlborough, MA Permitted Uses</w:t>
      </w:r>
    </w:p>
    <w:p>
      <w:pPr>
        <w:pStyle w:val="BodyText"/>
      </w:pPr>
      <w:hyperlink r:id="rId35">
        <w:r>
          <w:rPr>
            <w:rStyle w:val="Hyperlink"/>
          </w:rPr>
          <w:t xml:space="preserve">https://ecode360.com/9217014</w:t>
        </w:r>
      </w:hyperlink>
    </w:p>
    <w:p>
      <w:pPr>
        <w:pStyle w:val="BodyText"/>
      </w:pPr>
      <w:hyperlink r:id="rId24">
        <w:r>
          <w:rPr>
            <w:rStyle w:val="Hyperlink"/>
          </w:rPr>
          <w:t xml:space="preserve">[4]</w:t>
        </w:r>
      </w:hyperlink>
      <w:r>
        <w:t xml:space="preserve"> </w:t>
      </w:r>
      <w:r>
        <w:t xml:space="preserve">Fast Facts &amp; Data - Marlborough Economic Development Corporation</w:t>
      </w:r>
    </w:p>
    <w:p>
      <w:pPr>
        <w:pStyle w:val="BodyText"/>
      </w:pPr>
      <w:hyperlink r:id="rId36">
        <w:r>
          <w:rPr>
            <w:rStyle w:val="Hyperlink"/>
          </w:rPr>
          <w:t xml:space="preserve">https://marlboroughedc.com/fast-facts-data/</w:t>
        </w:r>
      </w:hyperlink>
    </w:p>
    <w:p>
      <w:pPr>
        <w:pStyle w:val="BodyText"/>
      </w:pPr>
      <w:hyperlink r:id="rId27">
        <w:r>
          <w:rPr>
            <w:rStyle w:val="Hyperlink"/>
          </w:rPr>
          <w:t xml:space="preserve">[5]</w:t>
        </w:r>
      </w:hyperlink>
      <w:r>
        <w:t xml:space="preserve"> </w:t>
      </w:r>
      <w:r>
        <w:t xml:space="preserve">Accessory Dwelling Units | Mass.gov</w:t>
      </w:r>
    </w:p>
    <w:p>
      <w:pPr>
        <w:pStyle w:val="BodyText"/>
      </w:pPr>
      <w:hyperlink r:id="rId37">
        <w:r>
          <w:rPr>
            <w:rStyle w:val="Hyperlink"/>
          </w:rPr>
          <w:t xml:space="preserve">https://www.mass.gov/info-details/accessory-dwelling-units</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ecode360.com/9217014" TargetMode="External" /><Relationship Type="http://schemas.openxmlformats.org/officeDocument/2006/relationships/hyperlink" Id="rId23" Target="https://ecode360.com/9217014#:~:text=Conversion%20of%20a%20single,accommodate%20two%20families%2C%20provided%20that" TargetMode="External" /><Relationship Type="http://schemas.openxmlformats.org/officeDocument/2006/relationships/hyperlink" Id="rId36" Target="https://marlboroughedc.com/fast-facts-data/" TargetMode="External" /><Relationship Type="http://schemas.openxmlformats.org/officeDocument/2006/relationships/hyperlink" Id="rId24" Target="https://marlboroughedc.com/fast-facts-data/#:~:text=FY%202025%20Tax%20Rates" TargetMode="External" /><Relationship Type="http://schemas.openxmlformats.org/officeDocument/2006/relationships/hyperlink" Id="rId37" Target="https://www.mass.gov/info-details/accessory-dwelling-units" TargetMode="External" /><Relationship Type="http://schemas.openxmlformats.org/officeDocument/2006/relationships/hyperlink" Id="rId27" Target="https://www.mass.gov/info-details/accessory-dwelling-units#:~:text=On%20Aug,will%20make%20a%20big%20difference" TargetMode="External" /><Relationship Type="http://schemas.openxmlformats.org/officeDocument/2006/relationships/hyperlink" Id="rId34" Target="https://www.rent.com/massachusetts/marlborough-apartments/rent-trends" TargetMode="External" /><Relationship Type="http://schemas.openxmlformats.org/officeDocument/2006/relationships/hyperlink" Id="rId22" Target="https://www.rent.com/massachusetts/marlborough-apartments/rent-trends#:~:text=Average%20Rent%20in%20Marlborough%2C%20MA" TargetMode="External" /><Relationship Type="http://schemas.openxmlformats.org/officeDocument/2006/relationships/hyperlink" Id="rId33" Target="https://www.rentcafe.com/average-rent-market-trends/us/ma/marlborough/" TargetMode="External" /><Relationship Type="http://schemas.openxmlformats.org/officeDocument/2006/relationships/hyperlink" Id="rId21" Target="https://www.rentcafe.com/average-rent-market-trends/us/ma/marlborough/#:~:text=The%20average%20rent%20for%20an,the%20average%20rent%20was%20%242%2C456" TargetMode="External" /></Relationships>
</file>

<file path=word/_rels/footnotes.xml.rels><?xml version="1.0" encoding="UTF-8"?><Relationships xmlns="http://schemas.openxmlformats.org/package/2006/relationships"><Relationship Type="http://schemas.openxmlformats.org/officeDocument/2006/relationships/hyperlink" Id="rId35" Target="https://ecode360.com/9217014" TargetMode="External" /><Relationship Type="http://schemas.openxmlformats.org/officeDocument/2006/relationships/hyperlink" Id="rId23" Target="https://ecode360.com/9217014#:~:text=Conversion%20of%20a%20single,accommodate%20two%20families%2C%20provided%20that" TargetMode="External" /><Relationship Type="http://schemas.openxmlformats.org/officeDocument/2006/relationships/hyperlink" Id="rId36" Target="https://marlboroughedc.com/fast-facts-data/" TargetMode="External" /><Relationship Type="http://schemas.openxmlformats.org/officeDocument/2006/relationships/hyperlink" Id="rId24" Target="https://marlboroughedc.com/fast-facts-data/#:~:text=FY%202025%20Tax%20Rates" TargetMode="External" /><Relationship Type="http://schemas.openxmlformats.org/officeDocument/2006/relationships/hyperlink" Id="rId37" Target="https://www.mass.gov/info-details/accessory-dwelling-units" TargetMode="External" /><Relationship Type="http://schemas.openxmlformats.org/officeDocument/2006/relationships/hyperlink" Id="rId27" Target="https://www.mass.gov/info-details/accessory-dwelling-units#:~:text=On%20Aug,will%20make%20a%20big%20difference" TargetMode="External" /><Relationship Type="http://schemas.openxmlformats.org/officeDocument/2006/relationships/hyperlink" Id="rId34" Target="https://www.rent.com/massachusetts/marlborough-apartments/rent-trends" TargetMode="External" /><Relationship Type="http://schemas.openxmlformats.org/officeDocument/2006/relationships/hyperlink" Id="rId22" Target="https://www.rent.com/massachusetts/marlborough-apartments/rent-trends#:~:text=Average%20Rent%20in%20Marlborough%2C%20MA" TargetMode="External" /><Relationship Type="http://schemas.openxmlformats.org/officeDocument/2006/relationships/hyperlink" Id="rId33" Target="https://www.rentcafe.com/average-rent-market-trends/us/ma/marlborough/" TargetMode="External" /><Relationship Type="http://schemas.openxmlformats.org/officeDocument/2006/relationships/hyperlink" Id="rId21" Target="https://www.rentcafe.com/average-rent-market-trends/us/ma/marlborough/#:~:text=The%20average%20rent%20for%20an,the%20average%20rent%20was%20%242%2C4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2026-02-03T01:08:48Z</dcterms:created>
  <dcterms:modified xsi:type="dcterms:W3CDTF">2026-02-03T01:08:48Z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