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false-positive-audit-opportunity-set"/>
    <w:p>
      <w:pPr>
        <w:pStyle w:val="Heading1"/>
      </w:pPr>
      <w:r>
        <w:t xml:space="preserve">False Positive Audit – Opportunity Set</w:t>
      </w:r>
    </w:p>
    <w:p>
      <w:pPr>
        <w:pStyle w:val="FirstParagraph"/>
      </w:pPr>
      <w:r>
        <w:t xml:space="preserve">This audit reviews each property in the Opportunity Set to identify potential false positives—deals that appear attractive only because of optimistic or incomplete inputs—and to separate higher‑confidence opportunities from those requiring further verification. The key issues examined include unknown HOA fees, insurance costs, repair liabilities, regulatory hurdles (ADUs, condo bylaws), tenant‑law implications and liquidity concerns. Properties are grouped by strategy/tab and split into</w:t>
      </w:r>
      <w:r>
        <w:t xml:space="preserve"> </w:t>
      </w:r>
      <w:r>
        <w:rPr>
          <w:b/>
          <w:bCs/>
        </w:rPr>
        <w:t xml:space="preserve">Recommended</w:t>
      </w:r>
      <w:r>
        <w:t xml:space="preserve"> </w:t>
      </w:r>
      <w:r>
        <w:t xml:space="preserve">(highest confidence) and</w:t>
      </w:r>
      <w:r>
        <w:t xml:space="preserve"> </w:t>
      </w:r>
      <w:r>
        <w:rPr>
          <w:b/>
          <w:bCs/>
        </w:rPr>
        <w:t xml:space="preserve">Watchlist</w:t>
      </w:r>
      <w:r>
        <w:t xml:space="preserve"> </w:t>
      </w:r>
      <w:r>
        <w:t xml:space="preserve">(needs verification or high risk).</w:t>
      </w:r>
    </w:p>
    <w:bookmarkStart w:id="24" w:name="valueadd-renovation"/>
    <w:p>
      <w:pPr>
        <w:pStyle w:val="Heading2"/>
      </w:pPr>
      <w:r>
        <w:t xml:space="preserve">Value‑Add / Renovation</w:t>
      </w:r>
    </w:p>
    <w:bookmarkStart w:id="21" w:name="recommended"/>
    <w:p>
      <w:pPr>
        <w:pStyle w:val="Heading3"/>
      </w:pPr>
      <w:r>
        <w:t xml:space="preserve">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MLS #</w:t>
            </w:r>
          </w:p>
        </w:tc>
        <w:tc>
          <w:tcPr/>
          <w:p>
            <w:pPr>
              <w:pStyle w:val="Compact"/>
            </w:pPr>
            <w:r>
              <w:t xml:space="preserve">Address</w:t>
            </w:r>
          </w:p>
        </w:tc>
        <w:tc>
          <w:tcPr/>
          <w:p>
            <w:pPr>
              <w:pStyle w:val="Compact"/>
            </w:pPr>
            <w:r>
              <w:t xml:space="preserve">Rationale</w:t>
            </w:r>
          </w:p>
        </w:tc>
      </w:tr>
      <w:tr>
        <w:tc>
          <w:tcPr/>
          <w:p>
            <w:pPr>
              <w:pStyle w:val="Compact"/>
            </w:pPr>
            <w:r>
              <w:rPr>
                <w:b/>
                <w:bCs/>
              </w:rPr>
              <w:t xml:space="preserve">73455427</w:t>
            </w:r>
          </w:p>
        </w:tc>
        <w:tc>
          <w:tcPr/>
          <w:p>
            <w:pPr>
              <w:pStyle w:val="Compact"/>
            </w:pPr>
            <w:r>
              <w:rPr>
                <w:b/>
                <w:bCs/>
              </w:rPr>
              <w:t xml:space="preserve">35 High St (1‑br condo)</w:t>
            </w:r>
          </w:p>
        </w:tc>
        <w:tc>
          <w:tcPr/>
          <w:p>
            <w:pPr>
              <w:pStyle w:val="Compact"/>
            </w:pPr>
            <w:r>
              <w:t xml:space="preserve">This condo shows a strong entry cap (~6.5 %) and a robust stabilised cap (~9.6 %). The unit is modestly priced relative to comps and requires mainly cosmetic updates. While the HOA fee is unknown, the lower list price provides a margin to absorb moderate fees or assessments. It qualifies under both Balanced and Growth profiles, and the risk of major structural or regulatory surprises is lower than in older buildings.</w:t>
            </w:r>
          </w:p>
        </w:tc>
      </w:tr>
    </w:tbl>
    <w:bookmarkEnd w:id="21"/>
    <w:bookmarkStart w:id="23" w:name="watchlist-needs-verification-high-risk"/>
    <w:p>
      <w:pPr>
        <w:pStyle w:val="Heading3"/>
      </w:pPr>
      <w:r>
        <w:t xml:space="preserve">Watchlist (needs verification / high risk)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MLS #</w:t>
            </w:r>
          </w:p>
        </w:tc>
        <w:tc>
          <w:tcPr/>
          <w:p>
            <w:pPr>
              <w:pStyle w:val="Compact"/>
            </w:pPr>
            <w:r>
              <w:t xml:space="preserve">Address</w:t>
            </w:r>
          </w:p>
        </w:tc>
        <w:tc>
          <w:tcPr/>
          <w:p>
            <w:pPr>
              <w:pStyle w:val="Compact"/>
            </w:pPr>
            <w:r>
              <w:t xml:space="preserve">Concerns</w:t>
            </w:r>
          </w:p>
        </w:tc>
      </w:tr>
      <w:tr>
        <w:tc>
          <w:tcPr/>
          <w:p>
            <w:pPr>
              <w:pStyle w:val="Compact"/>
            </w:pPr>
            <w:r>
              <w:rPr>
                <w:b/>
                <w:bCs/>
              </w:rPr>
              <w:t xml:space="preserve">73454954</w:t>
            </w:r>
          </w:p>
        </w:tc>
        <w:tc>
          <w:tcPr/>
          <w:p>
            <w:pPr>
              <w:pStyle w:val="Compact"/>
            </w:pPr>
            <w:r>
              <w:rPr>
                <w:b/>
                <w:bCs/>
              </w:rPr>
              <w:t xml:space="preserve">102 Liberty St (3‑br SF)</w:t>
            </w:r>
          </w:p>
        </w:tc>
        <w:tc>
          <w:tcPr/>
          <w:p>
            <w:pPr>
              <w:pStyle w:val="Compact"/>
            </w:pPr>
            <w:r>
              <w:t xml:space="preserve">Entry cap is just under 5 % and depends heavily on rent increases to ~$4.5 k/mo. The 1960 house likely needs substantial renovations (roof, HVAC, plumbing), and our 35 % expense ratio may understate actual costs once insurance and maintenance are fully accounted for. The lot is small (~0.12 acres), so ADU potential is uncertain, and conversion to a two‑family requires meeting minimum lot‑size and floor‑area thresholds</w:t>
            </w:r>
            <w:hyperlink r:id="rId22">
              <w:r>
                <w:rPr>
                  <w:rStyle w:val="Hyperlink"/>
                </w:rPr>
                <w:t xml:space="preserve">[1]</w:t>
              </w:r>
            </w:hyperlink>
            <w:r>
              <w:t xml:space="preserve">.</w:t>
            </w:r>
          </w:p>
        </w:tc>
      </w:tr>
      <w:tr>
        <w:tc>
          <w:tcPr/>
          <w:p>
            <w:pPr>
              <w:pStyle w:val="Compact"/>
            </w:pPr>
            <w:r>
              <w:rPr>
                <w:b/>
                <w:bCs/>
              </w:rPr>
              <w:t xml:space="preserve">73440035</w:t>
            </w:r>
          </w:p>
        </w:tc>
        <w:tc>
          <w:tcPr/>
          <w:p>
            <w:pPr>
              <w:pStyle w:val="Compact"/>
            </w:pPr>
            <w:r>
              <w:rPr>
                <w:b/>
                <w:bCs/>
              </w:rPr>
              <w:t xml:space="preserve">688 Boston Post Rd E (2‑br condo)</w:t>
            </w:r>
          </w:p>
        </w:tc>
        <w:tc>
          <w:tcPr/>
          <w:p>
            <w:pPr>
              <w:pStyle w:val="Compact"/>
            </w:pPr>
            <w:r>
              <w:t xml:space="preserve">Estimated entry cap (~5.7 %) assumes a generic 35 % expense ratio and no HOA fee. If the monthly condo fee exceeds ~$400 or there are special assessments (common in 1970s buildings), the cap rate could fall below 4 %. Rental demand must support aggressive rents ($3.3 k/mo) after renovation, which may be challenging outside the newest luxury buildings. Confirm HOA rules, upcoming capital projects and rental restrictions.</w:t>
            </w:r>
          </w:p>
        </w:tc>
      </w:tr>
      <w:tr>
        <w:tc>
          <w:tcPr/>
          <w:p>
            <w:pPr>
              <w:pStyle w:val="Compact"/>
            </w:pPr>
            <w:r>
              <w:rPr>
                <w:b/>
                <w:bCs/>
              </w:rPr>
              <w:t xml:space="preserve">73398938</w:t>
            </w:r>
          </w:p>
        </w:tc>
        <w:tc>
          <w:tcPr/>
          <w:p>
            <w:pPr>
              <w:pStyle w:val="Compact"/>
            </w:pPr>
            <w:r>
              <w:rPr>
                <w:b/>
                <w:bCs/>
              </w:rPr>
              <w:t xml:space="preserve">30 Broad St (2‑br condo)</w:t>
            </w:r>
          </w:p>
        </w:tc>
        <w:tc>
          <w:tcPr/>
          <w:p>
            <w:pPr>
              <w:pStyle w:val="Compact"/>
            </w:pPr>
            <w:r>
              <w:t xml:space="preserve">Entry cap (~4 %) is already below most investor thresholds and hinges on major rent growth to surpass 5 %. The building dates to 1900 and likely requires significant work (electrical, plumbing, insulation). Without detailed inspection and knowledge of the condo association’s reserves and bylaws, this deal carries high risk of unforeseen expenses and rental limitations.</w:t>
            </w:r>
          </w:p>
        </w:tc>
      </w:tr>
    </w:tbl>
    <w:bookmarkEnd w:id="23"/>
    <w:bookmarkEnd w:id="24"/>
    <w:bookmarkStart w:id="28" w:name="creative-adu"/>
    <w:p>
      <w:pPr>
        <w:pStyle w:val="Heading2"/>
      </w:pPr>
      <w:r>
        <w:t xml:space="preserve">Creative / ADU</w:t>
      </w:r>
    </w:p>
    <w:bookmarkStart w:id="25" w:name="recommended-1"/>
    <w:p>
      <w:pPr>
        <w:pStyle w:val="Heading3"/>
      </w:pPr>
      <w:r>
        <w:t xml:space="preserve">Recommended</w:t>
      </w:r>
    </w:p>
    <w:p>
      <w:pPr>
        <w:pStyle w:val="FirstParagraph"/>
      </w:pPr>
      <w:r>
        <w:rPr>
          <w:i/>
          <w:iCs/>
        </w:rPr>
        <w:t xml:space="preserve">(No properties qualify for “recommended” status in this category.)</w:t>
      </w:r>
    </w:p>
    <w:bookmarkEnd w:id="25"/>
    <w:bookmarkStart w:id="27" w:name="watchlist-needs-verification-high-risk-1"/>
    <w:p>
      <w:pPr>
        <w:pStyle w:val="Heading3"/>
      </w:pPr>
      <w:r>
        <w:t xml:space="preserve">Watchlist (needs verification / high risk)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MLS #</w:t>
            </w:r>
          </w:p>
        </w:tc>
        <w:tc>
          <w:tcPr/>
          <w:p>
            <w:pPr>
              <w:pStyle w:val="Compact"/>
            </w:pPr>
            <w:r>
              <w:t xml:space="preserve">Address</w:t>
            </w:r>
          </w:p>
        </w:tc>
        <w:tc>
          <w:tcPr/>
          <w:p>
            <w:pPr>
              <w:pStyle w:val="Compact"/>
            </w:pPr>
            <w:r>
              <w:t xml:space="preserve">Concerns</w:t>
            </w:r>
          </w:p>
        </w:tc>
      </w:tr>
      <w:tr>
        <w:tc>
          <w:tcPr/>
          <w:p>
            <w:pPr>
              <w:pStyle w:val="Compact"/>
            </w:pPr>
            <w:r>
              <w:rPr>
                <w:b/>
                <w:bCs/>
              </w:rPr>
              <w:t xml:space="preserve">73459150</w:t>
            </w:r>
          </w:p>
        </w:tc>
        <w:tc>
          <w:tcPr/>
          <w:p>
            <w:pPr>
              <w:pStyle w:val="Compact"/>
            </w:pPr>
            <w:r>
              <w:rPr>
                <w:b/>
                <w:bCs/>
              </w:rPr>
              <w:t xml:space="preserve">111 Howe St (4‑br + potential ADU)</w:t>
            </w:r>
          </w:p>
        </w:tc>
        <w:tc>
          <w:tcPr/>
          <w:p>
            <w:pPr>
              <w:pStyle w:val="Compact"/>
            </w:pPr>
            <w:r>
              <w:t xml:space="preserve">The balanced scenario uses a 30 % expense ratio and produces a 6.48 % cap, but creative/ADU operations generally incur higher costs (maintenance, utilities, furnishings). Under a 45 % expense assumption, the entry cap drops to 4.9 % unless an ADU is added. Building an ADU requires permitting under the new state law and could face local design review or utility hook‑up fees</w:t>
            </w:r>
            <w:hyperlink r:id="rId26">
              <w:r>
                <w:rPr>
                  <w:rStyle w:val="Hyperlink"/>
                </w:rPr>
                <w:t xml:space="preserve">[2]</w:t>
              </w:r>
            </w:hyperlink>
            <w:r>
              <w:t xml:space="preserve">. The house was built in 1910 and may have substantial deferred maintenance. Market demand for co‑living or short‑term rentals must be verified, and neighborhood zoning should be checked to ensure ADUs and transient rentals are allowed.</w:t>
            </w:r>
          </w:p>
        </w:tc>
      </w:tr>
    </w:tbl>
    <w:bookmarkEnd w:id="27"/>
    <w:bookmarkEnd w:id="28"/>
    <w:bookmarkStart w:id="29" w:name="conclusion"/>
    <w:p>
      <w:pPr>
        <w:pStyle w:val="Heading2"/>
      </w:pPr>
      <w:r>
        <w:t xml:space="preserve">Conclusion</w:t>
      </w:r>
    </w:p>
    <w:p>
      <w:pPr>
        <w:pStyle w:val="FirstParagraph"/>
      </w:pPr>
      <w:r>
        <w:t xml:space="preserve">Only</w:t>
      </w:r>
      <w:r>
        <w:t xml:space="preserve"> </w:t>
      </w:r>
      <w:r>
        <w:rPr>
          <w:b/>
          <w:bCs/>
        </w:rPr>
        <w:t xml:space="preserve">35 High St</w:t>
      </w:r>
      <w:r>
        <w:t xml:space="preserve"> </w:t>
      </w:r>
      <w:r>
        <w:t xml:space="preserve">emerges as a high‑confidence opportunity under current assumptions. The remaining properties depend on optimistic rent projections, low expense assumptions or uncertain regulatory approvals. These watchlist deals require thorough due diligence—obtaining HOA budgets, inspecting building systems, verifying zoning and ADU rules, and incorporating realistic insurance and repair reserves—before proceeding.</w:t>
      </w:r>
    </w:p>
    <w:bookmarkEnd w:id="29"/>
    <w:bookmarkEnd w:id="30"/>
    <w:bookmarkEnd w:id="31"/>
    <w:p>
      <w:r>
        <w:pict>
          <v:rect style="width:0;height:1.5pt" o:hralign="center" o:hrstd="t" o:hr="t"/>
        </w:pict>
      </w:r>
    </w:p>
    <w:bookmarkStart w:id="34" w:name="citations"/>
    <w:p>
      <w:pPr>
        <w:pStyle w:val="FirstParagraph"/>
      </w:pPr>
      <w:hyperlink r:id="rId22">
        <w:r>
          <w:rPr>
            <w:rStyle w:val="Hyperlink"/>
          </w:rPr>
          <w:t xml:space="preserve">[1]</w:t>
        </w:r>
      </w:hyperlink>
      <w:r>
        <w:t xml:space="preserve"> </w:t>
      </w:r>
      <w:r>
        <w:t xml:space="preserve">City of Marlborough, MA Permitted Uses</w:t>
      </w:r>
    </w:p>
    <w:p>
      <w:pPr>
        <w:pStyle w:val="BodyText"/>
      </w:pPr>
      <w:hyperlink r:id="rId32">
        <w:r>
          <w:rPr>
            <w:rStyle w:val="Hyperlink"/>
          </w:rPr>
          <w:t xml:space="preserve">https://ecode360.com/9217014</w:t>
        </w:r>
      </w:hyperlink>
    </w:p>
    <w:p>
      <w:pPr>
        <w:pStyle w:val="BodyText"/>
      </w:pPr>
      <w:hyperlink r:id="rId26">
        <w:r>
          <w:rPr>
            <w:rStyle w:val="Hyperlink"/>
          </w:rPr>
          <w:t xml:space="preserve">[2]</w:t>
        </w:r>
      </w:hyperlink>
      <w:r>
        <w:t xml:space="preserve"> </w:t>
      </w:r>
      <w:r>
        <w:t xml:space="preserve">Accessory Dwelling Units | Mass.gov</w:t>
      </w:r>
    </w:p>
    <w:p>
      <w:pPr>
        <w:pStyle w:val="BodyText"/>
      </w:pPr>
      <w:hyperlink r:id="rId33">
        <w:r>
          <w:rPr>
            <w:rStyle w:val="Hyperlink"/>
          </w:rPr>
          <w:t xml:space="preserve">https://www.mass.gov/info-details/accessory-dwelling-units</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ecode360.com/9217014" TargetMode="External" /><Relationship Type="http://schemas.openxmlformats.org/officeDocument/2006/relationships/hyperlink" Id="rId22" Target="https://ecode360.com/9217014#:~:text=Conversion%20of%20a%20single,accommodate%20two%20families%2C%20provided%20that" TargetMode="External" /><Relationship Type="http://schemas.openxmlformats.org/officeDocument/2006/relationships/hyperlink" Id="rId33" Target="https://www.mass.gov/info-details/accessory-dwelling-units" TargetMode="External" /><Relationship Type="http://schemas.openxmlformats.org/officeDocument/2006/relationships/hyperlink" Id="rId26" Target="https://www.mass.gov/info-details/accessory-dwelling-units#:~:text=On%20Aug,will%20make%20a%20big%20difference" TargetMode="External" /></Relationships>
</file>

<file path=word/_rels/footnotes.xml.rels><?xml version="1.0" encoding="UTF-8"?><Relationships xmlns="http://schemas.openxmlformats.org/package/2006/relationships"><Relationship Type="http://schemas.openxmlformats.org/officeDocument/2006/relationships/hyperlink" Id="rId32" Target="https://ecode360.com/9217014" TargetMode="External" /><Relationship Type="http://schemas.openxmlformats.org/officeDocument/2006/relationships/hyperlink" Id="rId22" Target="https://ecode360.com/9217014#:~:text=Conversion%20of%20a%20single,accommodate%20two%20families%2C%20provided%20that" TargetMode="External" /><Relationship Type="http://schemas.openxmlformats.org/officeDocument/2006/relationships/hyperlink" Id="rId33" Target="https://www.mass.gov/info-details/accessory-dwelling-units" TargetMode="External" /><Relationship Type="http://schemas.openxmlformats.org/officeDocument/2006/relationships/hyperlink" Id="rId26" Target="https://www.mass.gov/info-details/accessory-dwelling-units#:~:text=On%20Aug,will%20make%20a%20big%20dif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2026-02-03T01:17:10Z</dcterms:created>
  <dcterms:modified xsi:type="dcterms:W3CDTF">2026-02-03T01:17:10Z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