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###############################################################################</w:t>
      </w:r>
    </w:p>
    <w:p>
      <w:pPr>
        <w:pStyle w:val="Normal"/>
      </w:pPr>
      <w:r>
        <w:t xml:space="preserve"># RESULTS</w:t>
      </w:r>
    </w:p>
    <w:p>
      <w:pPr>
        <w:pStyle w:val="Normal"/>
      </w:pPr>
      <w:r>
        <w:t xml:space="preserve">###############################################################################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6.1 Global Differential Expression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total of 56555 differential expression entries representing 10442 unique genes were identified across 10 cell types and 3 disease comparisons.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6.2 Cell-type Specific Changes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analysed cell populations, Progenitors displayed the highest number of differentially expressed genes ( 15157 ), followed by Monocytes ( 6631 ).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6.3 Disease Comparison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comparison exhibiting the largest transcriptional response was Healthy_vs_SNMG_Pre with 20136 differentially expressed genes.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6.4 Conserved Disease Signatures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 conserved disease signatures satisfied the predefined filtering criteria and were ranked according to the composite signature score.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6.5 Summary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combined analyses demonstrate both shared and cell-type-specific transcriptional alterations associated with disease progression. Conserved signatures represent candidate molecular mechanisms for downstream validation.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2026-08-01T14:19:25Z</dcterms:modified>
  <cp:category/>
</cp:coreProperties>
</file>