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Methodology</w:t>
      </w:r>
    </w:p>
    <w:p>
      <w:pPr>
        <w:pStyle w:val="Normal"/>
      </w:pPr>
      <w:r>
        <w:t xml:space="preserve">Integrated differential-expression analysis was performed using the cell-type-resolved scRNA-seq outputs from GEO accession GSE227835. Differential-expression results generated for individual immune cell types and disease comparisons were consolidated into a master DEG table. Entries were considered significant when the adjusted P value was &lt; 0.05 and the absolute average log2 fold-change was &gt;= 0.5. Significant genes were then mapped across 10 analysed immune cell types (B cells, Basophils, CD4 T cells, CD8 T cells, Dendritic cells, Monocytes, Neutrophils, NK cells, Progenitors, T cells) and 3 comparisons (Healthy_vs_AChR_MG, Healthy_vs_SNMG_Pre, SNMG_Pre_vs_SNMG_Post). For each gene, cell-type recurrence was defined as the number of immune cell types in which the gene met the significance criteria, while comparison recurrence represented the number of disease contrasts in which it was detected. Genes were classified as cell-type-specific or recurrent according to these frequencies. Recurrent genes were visualized using a binary presence/absence heatmap, while conserved disease-associated candidates were prioritized using a composite score integrating mean absolute log2 fold-change, cell-type recurrence, comparison recurrence and adjusted-P-value strength. For the conserved-signature heatmap, mean log2 fold-change values were summarized for each gene-cell-type combination to retain both response direction and magnitude. Analytical metadata, detailed figure legends, quantitative Results text and manuscript-ready supplementary tables were generated from the same filtered dataset to maintain consistency between statistical outputs, visualizations and reporting.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2026-08-01T14:19:51Z</dcterms:modified>
  <cp:category/>
</cp:coreProperties>
</file>