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【合成夹具 C3 · 中英混排】禁止真实客户数据。用途：#1075 中英条款回归。</w:t>
      </w:r>
    </w:p>
    <w:p>
      <w:r>
        <w:t xml:space="preserve">Article 8 Confidentiality / 第八条 保密</w:t>
      </w:r>
    </w:p>
    <w:p>
      <w:r>
        <w:t xml:space="preserve">The Receiving Party shall keep Confidential Information in confidence for twenty-four (24) months after termination. 接收方应在合同终止后二十四（24）个月内对保密信息承担保密义务。</w:t>
      </w:r>
    </w:p>
    <w:p>
      <w:r>
        <w:t xml:space="preserve">Governing Law: This Agreement shall be governed by the laws of the People’s Republic of China. 适用法律：本协议适用中华人民共和国法律。</w:t>
      </w:r>
    </w:p>
    <w:p>
      <w:r>
        <w:t xml:space="preserve">目标短语：二十四（24）个月内对保密信息承担保密义务</w:t>
      </w:r>
    </w:p>
    <w:sectPr>
      <w:pgSz w:w="11906" w:h="16838"/>
      <w:pgMar w:top="1440" w:right="1440" w:bottom="1440" w:left="1440"/>
    </w:sectPr>
  </w:body>
</w:document>
</file>