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400" w:lineRule="exact"/>
        <w:ind w:firstLineChars="200"/>
        <w:jc w:val="center"/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  <w:t>表</w:t>
      </w:r>
      <w:r>
        <w:rPr>
          <w:rFonts w:hint="eastAsia" w:eastAsia="黑体" w:cs="Arial"/>
          <w:color w:val="000000"/>
          <w:kern w:val="2"/>
          <w:sz w:val="21"/>
          <w:szCs w:val="24"/>
          <w:lang w:val="en-US" w:eastAsia="zh-CN" w:bidi="ar-SA"/>
        </w:rPr>
        <w:t>4.7</w:t>
      </w:r>
      <w:r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eastAsia="黑体" w:cs="Arial"/>
          <w:color w:val="000000"/>
          <w:kern w:val="2"/>
          <w:sz w:val="21"/>
          <w:szCs w:val="24"/>
          <w:lang w:val="en-US" w:eastAsia="zh-CN" w:bidi="ar-SA"/>
        </w:rPr>
        <w:t>FDR</w:t>
      </w:r>
      <w:r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  <w:t>编码压缩率(%)</w:t>
      </w:r>
    </w:p>
    <w:tbl>
      <w:tblPr>
        <w:tblStyle w:val="4"/>
        <w:tblW w:w="7037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1"/>
        <w:gridCol w:w="1870"/>
        <w:gridCol w:w="1973"/>
        <w:gridCol w:w="158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61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电路</w:t>
            </w:r>
          </w:p>
        </w:tc>
        <w:tc>
          <w:tcPr>
            <w:tcW w:w="187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规模</w:t>
            </w:r>
          </w:p>
        </w:tc>
        <w:tc>
          <w:tcPr>
            <w:tcW w:w="197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400" w:lineRule="exact"/>
              <w:ind w:left="0" w:leftChars="0" w:right="0" w:rightChars="0" w:firstLine="0" w:firstLineChars="0"/>
              <w:jc w:val="center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直接编码</w:t>
            </w:r>
          </w:p>
        </w:tc>
        <w:tc>
          <w:tcPr>
            <w:tcW w:w="158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400" w:lineRule="exact"/>
              <w:ind w:left="0" w:leftChars="0" w:right="0" w:rightChars="0" w:firstLine="0" w:firstLineChars="0"/>
              <w:jc w:val="center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本方法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11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b15</w:t>
            </w:r>
          </w:p>
        </w:tc>
        <w:tc>
          <w:tcPr>
            <w:tcW w:w="187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1630*483</w:t>
            </w:r>
          </w:p>
        </w:tc>
        <w:tc>
          <w:tcPr>
            <w:tcW w:w="1973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83.26</w:t>
            </w:r>
          </w:p>
        </w:tc>
        <w:tc>
          <w:tcPr>
            <w:tcW w:w="1583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91.64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b17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2555*1452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89.93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94.10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b20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5510*522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84.15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90.54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b21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5496*522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4.13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90.63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b22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3369*767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85.10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89.94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平均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85.31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91.37</w:t>
            </w:r>
          </w:p>
        </w:tc>
      </w:tr>
    </w:tbl>
    <w:p/>
    <w:p>
      <w:pPr>
        <w:pStyle w:val="6"/>
        <w:spacing w:line="400" w:lineRule="exact"/>
        <w:ind w:firstLineChars="200"/>
        <w:jc w:val="center"/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  <w:t>表</w:t>
      </w:r>
      <w:r>
        <w:rPr>
          <w:rFonts w:hint="eastAsia" w:eastAsia="黑体" w:cs="Arial"/>
          <w:color w:val="000000"/>
          <w:kern w:val="2"/>
          <w:sz w:val="21"/>
          <w:szCs w:val="24"/>
          <w:lang w:val="en-US" w:eastAsia="zh-CN" w:bidi="ar-SA"/>
        </w:rPr>
        <w:t>4.8</w:t>
      </w:r>
      <w:r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eastAsia="黑体" w:cs="Arial"/>
          <w:color w:val="000000"/>
          <w:kern w:val="2"/>
          <w:sz w:val="21"/>
          <w:szCs w:val="24"/>
          <w:lang w:val="en-US" w:eastAsia="zh-CN" w:bidi="ar-SA"/>
        </w:rPr>
        <w:t>EFDR</w:t>
      </w:r>
      <w:r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  <w:t>编码压缩率(%)</w:t>
      </w:r>
    </w:p>
    <w:tbl>
      <w:tblPr>
        <w:tblStyle w:val="4"/>
        <w:tblW w:w="7037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1"/>
        <w:gridCol w:w="1870"/>
        <w:gridCol w:w="1973"/>
        <w:gridCol w:w="158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61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电路</w:t>
            </w:r>
          </w:p>
        </w:tc>
        <w:tc>
          <w:tcPr>
            <w:tcW w:w="187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规模</w:t>
            </w:r>
          </w:p>
        </w:tc>
        <w:tc>
          <w:tcPr>
            <w:tcW w:w="197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400" w:lineRule="exact"/>
              <w:ind w:left="0" w:leftChars="0" w:right="0" w:rightChars="0" w:firstLine="0" w:firstLineChars="0"/>
              <w:jc w:val="center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直接编码</w:t>
            </w:r>
          </w:p>
        </w:tc>
        <w:tc>
          <w:tcPr>
            <w:tcW w:w="158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400" w:lineRule="exact"/>
              <w:ind w:left="0" w:leftChars="0" w:right="0" w:rightChars="0" w:firstLine="0" w:firstLineChars="0"/>
              <w:jc w:val="center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本方法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11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b15</w:t>
            </w:r>
          </w:p>
        </w:tc>
        <w:tc>
          <w:tcPr>
            <w:tcW w:w="187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1630*483</w:t>
            </w:r>
          </w:p>
        </w:tc>
        <w:tc>
          <w:tcPr>
            <w:tcW w:w="1973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85.99</w:t>
            </w:r>
          </w:p>
        </w:tc>
        <w:tc>
          <w:tcPr>
            <w:tcW w:w="1583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91.08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b17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2555*1452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91.70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93.81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b20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5510*522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86.56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89.92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b21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5496*522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6.74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89.98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b22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3369*767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86.77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89.35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平均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87.55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90.83</w:t>
            </w:r>
          </w:p>
        </w:tc>
      </w:tr>
    </w:tbl>
    <w:p/>
    <w:p/>
    <w:p>
      <w:pPr>
        <w:pStyle w:val="6"/>
        <w:spacing w:line="400" w:lineRule="exact"/>
        <w:ind w:firstLineChars="200"/>
        <w:jc w:val="center"/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  <w:t>表</w:t>
      </w:r>
      <w:r>
        <w:rPr>
          <w:rFonts w:hint="eastAsia" w:eastAsia="黑体" w:cs="Arial"/>
          <w:color w:val="000000"/>
          <w:kern w:val="2"/>
          <w:sz w:val="21"/>
          <w:szCs w:val="24"/>
          <w:lang w:val="en-US" w:eastAsia="zh-CN" w:bidi="ar-SA"/>
        </w:rPr>
        <w:t>4.9</w:t>
      </w:r>
      <w:r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eastAsia="黑体" w:cs="Arial"/>
          <w:color w:val="000000"/>
          <w:kern w:val="2"/>
          <w:sz w:val="21"/>
          <w:szCs w:val="24"/>
          <w:lang w:val="en-US" w:eastAsia="zh-CN" w:bidi="ar-SA"/>
        </w:rPr>
        <w:t>VIHC</w:t>
      </w:r>
      <w:r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  <w:t>编码压缩率(%)</w:t>
      </w:r>
    </w:p>
    <w:tbl>
      <w:tblPr>
        <w:tblStyle w:val="4"/>
        <w:tblW w:w="7037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1"/>
        <w:gridCol w:w="1870"/>
        <w:gridCol w:w="1973"/>
        <w:gridCol w:w="158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61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电路</w:t>
            </w:r>
          </w:p>
        </w:tc>
        <w:tc>
          <w:tcPr>
            <w:tcW w:w="187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规模</w:t>
            </w:r>
          </w:p>
        </w:tc>
        <w:tc>
          <w:tcPr>
            <w:tcW w:w="197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400" w:lineRule="exact"/>
              <w:ind w:left="0" w:leftChars="0" w:right="0" w:rightChars="0" w:firstLine="0" w:firstLineChars="0"/>
              <w:jc w:val="center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直接编码</w:t>
            </w:r>
          </w:p>
        </w:tc>
        <w:tc>
          <w:tcPr>
            <w:tcW w:w="158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400" w:lineRule="exact"/>
              <w:ind w:left="0" w:leftChars="0" w:right="0" w:rightChars="0" w:firstLine="0" w:firstLineChars="0"/>
              <w:jc w:val="center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本方法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11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b15</w:t>
            </w:r>
          </w:p>
        </w:tc>
        <w:tc>
          <w:tcPr>
            <w:tcW w:w="187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1630*483</w:t>
            </w:r>
          </w:p>
        </w:tc>
        <w:tc>
          <w:tcPr>
            <w:tcW w:w="1973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86.72</w:t>
            </w:r>
          </w:p>
        </w:tc>
        <w:tc>
          <w:tcPr>
            <w:tcW w:w="1583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92.91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b17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2555*1452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91.88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94.90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b20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5510*522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86.44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91.96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b21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5496*522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86.45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92.09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b22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3369*767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86.90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90.99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平均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87.68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92.57</w:t>
            </w:r>
          </w:p>
        </w:tc>
      </w:tr>
    </w:tbl>
    <w:p/>
    <w:p/>
    <w:p/>
    <w:p/>
    <w:p/>
    <w:p/>
    <w:p>
      <w:pPr>
        <w:pStyle w:val="6"/>
        <w:spacing w:line="400" w:lineRule="exact"/>
        <w:ind w:firstLineChars="200"/>
        <w:jc w:val="center"/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  <w:t>表</w:t>
      </w:r>
      <w:r>
        <w:rPr>
          <w:rFonts w:hint="eastAsia" w:eastAsia="黑体" w:cs="Arial"/>
          <w:color w:val="000000"/>
          <w:kern w:val="2"/>
          <w:sz w:val="21"/>
          <w:szCs w:val="24"/>
          <w:lang w:val="en-US" w:eastAsia="zh-CN" w:bidi="ar-SA"/>
        </w:rPr>
        <w:t>4.10</w:t>
      </w:r>
      <w:r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eastAsia="黑体" w:cs="Arial"/>
          <w:color w:val="000000"/>
          <w:kern w:val="2"/>
          <w:sz w:val="21"/>
          <w:szCs w:val="24"/>
          <w:lang w:val="en-US" w:eastAsia="zh-CN" w:bidi="ar-SA"/>
        </w:rPr>
        <w:t>Golomb</w:t>
      </w:r>
      <w:r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  <w:t>编码压缩率(%)</w:t>
      </w:r>
    </w:p>
    <w:tbl>
      <w:tblPr>
        <w:tblStyle w:val="4"/>
        <w:tblW w:w="7037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1"/>
        <w:gridCol w:w="1870"/>
        <w:gridCol w:w="1973"/>
        <w:gridCol w:w="158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61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电路</w:t>
            </w:r>
          </w:p>
        </w:tc>
        <w:tc>
          <w:tcPr>
            <w:tcW w:w="187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规模</w:t>
            </w:r>
          </w:p>
        </w:tc>
        <w:tc>
          <w:tcPr>
            <w:tcW w:w="197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400" w:lineRule="exact"/>
              <w:ind w:left="0" w:leftChars="0" w:right="0" w:rightChars="0" w:firstLine="0" w:firstLineChars="0"/>
              <w:jc w:val="center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直接编码</w:t>
            </w:r>
          </w:p>
        </w:tc>
        <w:tc>
          <w:tcPr>
            <w:tcW w:w="158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400" w:lineRule="exact"/>
              <w:ind w:left="0" w:leftChars="0" w:right="0" w:rightChars="0" w:firstLine="0" w:firstLineChars="0"/>
              <w:jc w:val="center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本方法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11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b15</w:t>
            </w:r>
          </w:p>
        </w:tc>
        <w:tc>
          <w:tcPr>
            <w:tcW w:w="187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1630*483</w:t>
            </w:r>
          </w:p>
        </w:tc>
        <w:tc>
          <w:tcPr>
            <w:tcW w:w="1973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64.52</w:t>
            </w:r>
          </w:p>
        </w:tc>
        <w:tc>
          <w:tcPr>
            <w:tcW w:w="1583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72.15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b17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2555*1452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8.93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72.71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b20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5510*522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66.94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71.42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b21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5496*522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66.81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71.56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b22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3369*767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66.55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70.63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平均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66.75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71.69</w:t>
            </w:r>
          </w:p>
        </w:tc>
      </w:tr>
    </w:tbl>
    <w:p>
      <w:pPr>
        <w:rPr>
          <w:b/>
          <w:bCs/>
        </w:rPr>
      </w:pPr>
    </w:p>
    <w:p>
      <w:pPr>
        <w:pStyle w:val="6"/>
        <w:spacing w:line="400" w:lineRule="exact"/>
        <w:ind w:firstLineChars="200"/>
        <w:jc w:val="center"/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  <w:t>表</w:t>
      </w:r>
      <w:r>
        <w:rPr>
          <w:rFonts w:hint="eastAsia" w:eastAsia="黑体" w:cs="Arial"/>
          <w:color w:val="000000"/>
          <w:kern w:val="2"/>
          <w:sz w:val="21"/>
          <w:szCs w:val="24"/>
          <w:lang w:val="en-US" w:eastAsia="zh-CN" w:bidi="ar-SA"/>
        </w:rPr>
        <w:t>4.11</w:t>
      </w:r>
      <w:r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eastAsia="黑体" w:cs="Arial"/>
          <w:color w:val="000000"/>
          <w:kern w:val="2"/>
          <w:sz w:val="21"/>
          <w:szCs w:val="24"/>
          <w:lang w:val="en-US" w:eastAsia="zh-CN" w:bidi="ar-SA"/>
        </w:rPr>
        <w:t>AFDR</w:t>
      </w:r>
      <w:r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  <w:t>编码压缩率(%)</w:t>
      </w:r>
    </w:p>
    <w:tbl>
      <w:tblPr>
        <w:tblStyle w:val="4"/>
        <w:tblW w:w="7037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1"/>
        <w:gridCol w:w="1870"/>
        <w:gridCol w:w="1973"/>
        <w:gridCol w:w="158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61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电路</w:t>
            </w:r>
          </w:p>
        </w:tc>
        <w:tc>
          <w:tcPr>
            <w:tcW w:w="187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规模</w:t>
            </w:r>
          </w:p>
        </w:tc>
        <w:tc>
          <w:tcPr>
            <w:tcW w:w="197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400" w:lineRule="exact"/>
              <w:ind w:left="0" w:leftChars="0" w:right="0" w:rightChars="0" w:firstLine="0" w:firstLineChars="0"/>
              <w:jc w:val="center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直接编码</w:t>
            </w:r>
          </w:p>
        </w:tc>
        <w:tc>
          <w:tcPr>
            <w:tcW w:w="158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400" w:lineRule="exact"/>
              <w:ind w:left="0" w:leftChars="0" w:right="0" w:rightChars="0" w:firstLine="0" w:firstLineChars="0"/>
              <w:jc w:val="center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本方法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11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b15</w:t>
            </w:r>
          </w:p>
        </w:tc>
        <w:tc>
          <w:tcPr>
            <w:tcW w:w="187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1630*483</w:t>
            </w:r>
          </w:p>
        </w:tc>
        <w:tc>
          <w:tcPr>
            <w:tcW w:w="1973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85.12</w:t>
            </w:r>
          </w:p>
        </w:tc>
        <w:tc>
          <w:tcPr>
            <w:tcW w:w="1583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90.61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b17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2555*1452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91.10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93.56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b20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5510*522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85.81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89.51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b21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5496*522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6.04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89.55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b22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3369*767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86.00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88.80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平均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86.81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90.41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6"/>
        <w:spacing w:line="400" w:lineRule="exact"/>
        <w:ind w:firstLineChars="200"/>
        <w:jc w:val="center"/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  <w:t>表</w:t>
      </w:r>
      <w:r>
        <w:rPr>
          <w:rFonts w:hint="eastAsia" w:eastAsia="黑体" w:cs="Arial"/>
          <w:color w:val="000000"/>
          <w:kern w:val="2"/>
          <w:sz w:val="21"/>
          <w:szCs w:val="24"/>
          <w:lang w:val="en-US" w:eastAsia="zh-CN" w:bidi="ar-SA"/>
        </w:rPr>
        <w:t>4.12</w:t>
      </w:r>
      <w:r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eastAsia="黑体" w:cs="Arial"/>
          <w:color w:val="000000"/>
          <w:kern w:val="2"/>
          <w:sz w:val="21"/>
          <w:szCs w:val="24"/>
          <w:lang w:val="en-US" w:eastAsia="zh-CN" w:bidi="ar-SA"/>
        </w:rPr>
        <w:t>RL-Huff</w:t>
      </w:r>
      <w:r>
        <w:rPr>
          <w:rFonts w:hint="eastAsia" w:eastAsia="黑体" w:cs="Arial" w:asciiTheme="minorHAnsi" w:hAnsiTheme="minorHAnsi"/>
          <w:color w:val="000000"/>
          <w:kern w:val="2"/>
          <w:sz w:val="21"/>
          <w:szCs w:val="24"/>
          <w:lang w:val="en-US" w:eastAsia="zh-CN" w:bidi="ar-SA"/>
        </w:rPr>
        <w:t>编码压缩率(%)</w:t>
      </w:r>
    </w:p>
    <w:tbl>
      <w:tblPr>
        <w:tblStyle w:val="4"/>
        <w:tblW w:w="7037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1"/>
        <w:gridCol w:w="1870"/>
        <w:gridCol w:w="1973"/>
        <w:gridCol w:w="158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61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电路</w:t>
            </w:r>
          </w:p>
        </w:tc>
        <w:tc>
          <w:tcPr>
            <w:tcW w:w="187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规模</w:t>
            </w:r>
          </w:p>
        </w:tc>
        <w:tc>
          <w:tcPr>
            <w:tcW w:w="197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400" w:lineRule="exact"/>
              <w:ind w:left="0" w:leftChars="0" w:right="0" w:rightChars="0" w:firstLine="0" w:firstLineChars="0"/>
              <w:jc w:val="center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直接编码</w:t>
            </w:r>
          </w:p>
        </w:tc>
        <w:tc>
          <w:tcPr>
            <w:tcW w:w="158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400" w:lineRule="exact"/>
              <w:ind w:left="0" w:leftChars="0" w:right="0" w:rightChars="0" w:firstLine="0" w:firstLineChars="0"/>
              <w:jc w:val="center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本方法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11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b15</w:t>
            </w:r>
          </w:p>
        </w:tc>
        <w:tc>
          <w:tcPr>
            <w:tcW w:w="1870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1630*483</w:t>
            </w:r>
          </w:p>
        </w:tc>
        <w:tc>
          <w:tcPr>
            <w:tcW w:w="1973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87.01</w:t>
            </w:r>
          </w:p>
        </w:tc>
        <w:tc>
          <w:tcPr>
            <w:tcW w:w="1583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92.04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b17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2555*1452</w:t>
            </w:r>
            <w:bookmarkStart w:id="0" w:name="_GoBack"/>
            <w:bookmarkEnd w:id="0"/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92.30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94.46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b20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5510*522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87.50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91.07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b21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5496*522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87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69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91.16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b22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3369*767</w:t>
            </w: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87.30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90.20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611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平均</w:t>
            </w:r>
          </w:p>
        </w:tc>
        <w:tc>
          <w:tcPr>
            <w:tcW w:w="1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7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88.36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91.79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927D8"/>
    <w:rsid w:val="2ACB0554"/>
    <w:rsid w:val="50A927D8"/>
    <w:rsid w:val="5B1250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正文样式"/>
    <w:basedOn w:val="1"/>
    <w:qFormat/>
    <w:uiPriority w:val="0"/>
    <w:pPr>
      <w:ind w:firstLine="518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2020-03-03T14:47:00Z</dcterms:created>
  <dc:creator>summer</dc:creator>
  <cp:lastModifiedBy>summer</cp:lastModifiedBy>
  <dcterms:modified xsi:type="dcterms:W3CDTF">2020-03-03T15:43:59Z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