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Final Submission (Revised)</w:t>
      </w:r>
    </w:p>
    <w:p>
      <w:r>
        <w:rPr>
          <w:b/>
          <w:sz w:val="32"/>
        </w:rPr>
        <w:t>1 - Covering note</w:t>
      </w:r>
    </w:p>
    <w:p>
      <w:r>
        <w:t>This paragraph exists so the document has enough real text for a PDF text-layer check to mean something. It describes an imaginary district programme, its budget lines, its timelines and its expected outcomes, in the flat register that official reports are written in. Nothing in it refers to any real place, person or scheme.</w:t>
      </w:r>
    </w:p>
    <w:p>
      <w:r>
        <w:rPr>
          <w:b/>
          <w:sz w:val="28"/>
        </w:rPr>
        <w:t>1.1 Enclosures</w:t>
      </w:r>
    </w:p>
    <w:p>
      <w:r>
        <w:t>The costing below is illustrative only. Figures are rounded to the nearest lakh and carry no commitment. Where a component depends on a procurement that has not yet been tendered, the estimate is marked provisional and is expected to move within a band of ten per cent either way.</w:t>
      </w:r>
    </w:p>
    <w:p>
      <w:r>
        <w:t>One item still needs a check before dispatch. [V]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