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png" ContentType="image/png"/>
  <Override PartName="/word/media/rId42.png" ContentType="image/png"/>
  <Override PartName="/word/media/rId48.png" ContentType="image/png"/>
  <Override PartName="/word/media/rId58.png" ContentType="image/png"/>
  <Override PartName="/word/media/rId63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Digital Weight Scale System — Phase 1 Engineering Research &amp; Component Selection</w:t>
      </w:r>
    </w:p>
    <w:p>
      <w:pPr>
        <w:pStyle w:val="Date"/>
      </w:pPr>
      <w:r>
        <w:t>Prepared June 2026 · Draft for your review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document sets out our Phase 1 work on your digital weight scale system: the research, the engineering decisions, and the specific components we propose to build around. It covers every subsystem in your specification — the accuracy chain (load cells and ADC), the microcontroller, the junction box, the power and battery system, the communications, the displays, and calibration — and for each one I have given the reasoning and the actual parts, not just a general direction.</w:t>
      </w:r>
    </w:p>
    <w:p>
      <w:pPr>
        <w:pStyle w:val="BodyText"/>
      </w:pPr>
      <w:r>
        <w:t xml:space="preserve">Nothing here is final; this is the engineering basis the detailed design will sit on. Where a requirement needed a judgement call, I have flagged it and explained why I went the way I did. The detailed schematics and PCB layout will be produced in </w:t>
      </w:r>
      <w:r>
        <w:rPr>
          <w:bCs/>
          <w:b/>
        </w:rPr>
        <w:t xml:space="preserve">KiCad</w:t>
      </w:r>
      <w:r>
        <w:t xml:space="preserve">.</w:t>
      </w:r>
    </w:p>
    <w:p>
      <w:pPr>
        <w:pStyle w:val="BodyText"/>
      </w:pPr>
      <w:r>
        <w:t xml:space="preserve">A few decisions are baked into what follows and worth stating up front, because the rest of the design depends on them: I read </w:t>
      </w:r>
      <w:r>
        <w:rPr>
          <w:bCs/>
          <w:b/>
        </w:rPr>
        <w:t>“±0.01% accuracy”</w:t>
      </w:r>
      <w:r>
        <w:t xml:space="preserve"> as </w:t>
      </w:r>
      <w:r>
        <w:rPr>
          <w:bCs/>
          <w:b/>
        </w:rPr>
        <w:t xml:space="preserve">1 part in 10,000 of full scale</w:t>
      </w:r>
      <w:r>
        <w:t xml:space="preserve"> (your own readability table confirms this — see §2); the </w:t>
      </w:r>
      <w:r>
        <w:rPr>
          <w:bCs/>
          <w:b/>
        </w:rPr>
        <w:t>“6 V battery”</w:t>
      </w:r>
      <w:r>
        <w:t xml:space="preserve"> as a </w:t>
      </w:r>
      <w:r>
        <w:rPr>
          <w:bCs/>
          <w:b/>
        </w:rPr>
        <w:t xml:space="preserve">2S LiFePO4 pack (6.4 V nominal)</w:t>
      </w:r>
      <w:r>
        <w:t xml:space="preserve">, the proper drop-in for a 6 V lead-acid; and the </w:t>
      </w:r>
      <w:r>
        <w:rPr>
          <w:bCs/>
          <w:b/>
        </w:rPr>
        <w:t xml:space="preserve">400 m wireless display</w:t>
      </w:r>
      <w:r>
        <w:t xml:space="preserve"> as </w:t>
      </w:r>
      <w:r>
        <w:rPr>
          <w:bCs/>
          <w:b/>
        </w:rPr>
        <w:t xml:space="preserve">Wi-Fi + MQTT</w:t>
      </w:r>
      <w:r>
        <w:t xml:space="preserve">, per your direction. I have also taken the </w:t>
      </w:r>
      <w:r>
        <w:rPr>
          <w:bCs/>
          <w:b/>
        </w:rPr>
        <w:t>“do not use these ports” / “use SMD”</w:t>
      </w:r>
      <w:r>
        <w:t xml:space="preserve"> note to mean </w:t>
      </w:r>
      <w:r>
        <w:rPr>
          <w:bCs/>
          <w:b/>
        </w:rPr>
        <w:t xml:space="preserve">no through-hole trimmer potentiometers anywhere</w:t>
      </w:r>
      <w:r>
        <w:t xml:space="preserve"> — so corner adjustment is done digitally (§5). The system is built for </w:t>
      </w:r>
      <w:r>
        <w:rPr>
          <w:bCs/>
          <w:b/>
        </w:rPr>
        <w:t xml:space="preserve">India (230 V / 50 Hz mains)</w:t>
      </w:r>
      <w:r>
        <w:t xml:space="preserve">.</w:t>
      </w:r>
    </w:p>
    <w:bookmarkStart w:id="23" w:name="system-architecture-overview"/>
    <w:p>
      <w:pPr>
        <w:pStyle w:val="Heading1"/>
      </w:pPr>
      <w:r>
        <w:t xml:space="preserve">1. System architecture overview</w:t>
      </w:r>
    </w:p>
    <w:p>
      <w:pPr>
        <w:pStyle w:val="FirstParagraph"/>
      </w:pPr>
      <w:r>
        <w:t xml:space="preserve">The whole product is best understood as </w:t>
      </w:r>
      <w:r>
        <w:rPr>
          <w:bCs/>
          <w:b/>
        </w:rPr>
        <w:t xml:space="preserve">one weighing indicator (the brain)</w:t>
      </w:r>
      <w:r>
        <w:t xml:space="preserve"> plus </w:t>
      </w:r>
      <w:r>
        <w:rPr>
          <w:bCs/>
          <w:b/>
        </w:rPr>
        <w:t xml:space="preserve">a family of peripherals</w:t>
      </w:r>
      <w:r>
        <w:t xml:space="preserve"> (junction box, displays) hanging off three transports: a wired RS-485 bus, a Wi-Fi/MQTT link for the wireless displays and the mobile app, and the wired analog/serial outputs. This keeps the five display variants and four junction-box variants from each needing their own design.</w:t>
      </w:r>
    </w:p>
    <w:p>
      <w:pPr>
        <w:pStyle w:val="CaptionedFigure"/>
      </w:pPr>
      <w:r>
        <w:drawing>
          <wp:inline>
            <wp:extent cx="5334000" cy="983668"/>
            <wp:effectExtent b="0" l="0" r="0" t="0"/>
            <wp:docPr descr="System architecture" title="" id="21" name="Picture"/>
            <a:graphic>
              <a:graphicData uri="http://schemas.openxmlformats.org/drawingml/2006/picture">
                <pic:pic>
                  <pic:nvPicPr>
                    <pic:cNvPr descr="diagrams/d1_system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3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</w:t>
      </w:r>
    </w:p>
    <w:p>
      <w:pPr>
        <w:pStyle w:val="BodyText"/>
      </w:pPr>
      <w:r>
        <w:rPr>
          <w:bCs/>
          <w:b/>
        </w:rPr>
        <w:t xml:space="preserve">The design rule that falls out of this:</w:t>
      </w:r>
      <w:r>
        <w:t xml:space="preserve"> the indicator never “drives” a big LED display directly. The large 7-segment displays draw too much current (see §9) and sit far away, so they are </w:t>
      </w:r>
      <w:r>
        <w:rPr>
          <w:iCs/>
          <w:i/>
        </w:rPr>
        <w:t xml:space="preserve">independent units</w:t>
      </w:r>
      <w:r>
        <w:t xml:space="preserve"> with their own power and their own small controller, fed only </w:t>
      </w:r>
      <w:r>
        <w:rPr>
          <w:bCs/>
          <w:b/>
        </w:rPr>
        <w:t xml:space="preserve">data</w:t>
      </w:r>
      <w:r>
        <w:t xml:space="preserve"> — over Wi-Fi/MQTT for the wireless ones and RS-485 for the wired ones. This is what makes the 400 m wireless requirement and “any number of remote displays” practical.</w:t>
      </w:r>
    </w:p>
    <w:bookmarkEnd w:id="23"/>
    <w:bookmarkStart w:id="30" w:name="Xb2f0e4ee7e3bdf1099346de3112868779dd5ed2"/>
    <w:p>
      <w:pPr>
        <w:pStyle w:val="Heading1"/>
      </w:pPr>
      <w:r>
        <w:t xml:space="preserve">2. The accuracy chain and error budget (the make-or-break section)</w:t>
      </w:r>
    </w:p>
    <w:p>
      <w:pPr>
        <w:pStyle w:val="FirstParagraph"/>
      </w:pPr>
      <w:r>
        <w:t xml:space="preserve">Everything else in this project is routine embedded design. The ±0.01% requirement is what makes this a precision-instrument job, so I have analysed it first and hardest.</w:t>
      </w:r>
    </w:p>
    <w:bookmarkStart w:id="24" w:name="what-0.01-actually-means-in-counts"/>
    <w:p>
      <w:pPr>
        <w:pStyle w:val="Heading2"/>
      </w:pPr>
      <w:r>
        <w:t>2.1 What “±0.01%” actually means in counts</w:t>
      </w:r>
    </w:p>
    <w:p>
      <w:pPr>
        <w:pStyle w:val="FirstParagraph"/>
      </w:pPr>
      <w:r>
        <w:t xml:space="preserve">±0.01% = 1/10,000. A scale that is accurate to ±0.01% of full scale must resolve and hold </w:t>
      </w:r>
      <w:r>
        <w:rPr>
          <w:bCs/>
          <w:b/>
        </w:rPr>
        <w:t xml:space="preserve">10,000 divisions</w:t>
      </w:r>
      <w:r>
        <w:t xml:space="preserve">. Your own platform table already encodes exactly this — the listed readability is, in almost every row, 1/10,000 of the capacity: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15"/>
        <w:gridCol w:w="1015"/>
        <w:gridCol w:w="2030"/>
        <w:gridCol w:w="1929"/>
        <w:gridCol w:w="19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Listed readability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 of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Divisions implied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1×1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1×1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16″×16″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2×2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3×3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100–500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6,000–30,000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4×4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5×5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52×52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</w:tr>
    </w:tbl>
    <w:p>
      <w:pPr>
        <w:pStyle w:val="BodyText"/>
      </w:pPr>
      <w:r>
        <w:t xml:space="preserve">So the design target is a </w:t>
      </w:r>
      <w:r>
        <w:rPr>
          <w:bCs/>
          <w:b/>
        </w:rPr>
        <w:t xml:space="preserve">clean, stable 10,000-count instrument</w:t>
      </w:r>
      <w:r>
        <w:t xml:space="preserve"> (with headroom so the last count does not flicker). For context: 3,000 counts is an ordinary commercial scale (OIML Class III, C3 load cell); </w:t>
      </w:r>
      <w:r>
        <w:rPr>
          <w:bCs/>
          <w:b/>
        </w:rPr>
        <w:t xml:space="preserve">10,000 counts sits at the top of Class III and brushes Class II</w:t>
      </w:r>
      <w:r>
        <w:t xml:space="preserve">. It is achievable, but it is a precision design.</w:t>
      </w:r>
    </w:p>
    <w:bookmarkEnd w:id="24"/>
    <w:bookmarkStart w:id="25" w:name="Xc294f84bd76944eecd0002a307c99224a60ddf7"/>
    <w:p>
      <w:pPr>
        <w:pStyle w:val="Heading2"/>
      </w:pPr>
      <w:r>
        <w:t xml:space="preserve">2.2 Load-cell metrology — the bottleneck is mechanical, not electronic</w:t>
      </w:r>
    </w:p>
    <w:p>
      <w:pPr>
        <w:pStyle w:val="FirstParagraph"/>
      </w:pPr>
      <w:r>
        <w:t xml:space="preserve">A strain-gauge load cell’s resolving power is described by OIML R60 with two numbers the manufacturer guarantees: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n_LC</w:t>
      </w:r>
      <w:r>
        <w:t xml:space="preserve"> — maximum number of verification intervals the cell supports (C3 = 3,000; C6 = 6,000; some C-class cells are rated to 10,000).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v_min</w:t>
      </w:r>
      <w:r>
        <w:t xml:space="preserve"> — the smallest verification interval the cell can resolve (its real noise/repeatability floor, in mass units).</w:t>
      </w:r>
    </w:p>
    <w:p>
      <w:pPr>
        <w:pStyle w:val="FirstParagraph"/>
      </w:pPr>
      <w:r>
        <w:t xml:space="preserve">The governing rule for a multi-cell platform is </w:t>
      </w:r>
      <w:r>
        <w:rPr>
          <w:bCs/>
          <w:b/>
        </w:rPr>
        <w:t xml:space="preserve">e ≥ v_min · √N</w:t>
      </w:r>
      <w:r>
        <w:t xml:space="preserve"> (equivalently v_min ≤ e / √N), where </w:t>
      </w:r>
      <w:r>
        <w:rPr>
          <w:bCs/>
          <w:b/>
        </w:rPr>
        <w:t xml:space="preserve">e</w:t>
      </w:r>
      <w:r>
        <w:t xml:space="preserve"> is the scale division and </w:t>
      </w:r>
      <w:r>
        <w:rPr>
          <w:bCs/>
          <w:b/>
        </w:rPr>
        <w:t xml:space="preserve">N</w:t>
      </w:r>
      <w:r>
        <w:t xml:space="preserve"> is the number of load cells. The √N penalty is the cost of paralleling cells: noise and tolerance add in quadrature, so a 4-cell platform needs cells with v_min at least 2× finer than the division you want, and a 10-cell platform needs about 3.2× finer.</w:t>
      </w:r>
    </w:p>
    <w:p>
      <w:pPr>
        <w:pStyle w:val="BodyText"/>
      </w:pPr>
      <w:r>
        <w:rPr>
          <w:bCs/>
          <w:b/>
        </w:rPr>
        <w:t xml:space="preserve">Worked example (16″×16″, 300 kg, e = 30 g target ≈ 0.01%, 4 cells):</w:t>
      </w:r>
      <w:r>
        <w:t xml:space="preserve"> required per-cell v_min ≤ 30 g / √4 = </w:t>
      </w:r>
      <w:r>
        <w:rPr>
          <w:bCs/>
          <w:b/>
        </w:rPr>
        <w:t xml:space="preserve">15 g</w:t>
      </w:r>
      <w:r>
        <w:t xml:space="preserve">. A 300 kg-rated C3 cell (n_LC = 3,000) gives v_min of tens of grams, so a plain C3 cell is borderline-to-insufficient here. You either move to a higher class (C4/C6, finer v_min) or use fewer / lower-capacity cells closer to their rated load.</w:t>
      </w:r>
    </w:p>
    <w:p>
      <w:pPr>
        <w:pStyle w:val="BodyText"/>
      </w:pPr>
      <w:r>
        <w:rPr>
          <w:bCs/>
          <w:b/>
        </w:rPr>
        <w:t xml:space="preserve">The honest headline:</w:t>
      </w:r>
      <w:r>
        <w:t xml:space="preserve"> the load cell — not the ADC — is what limits this instrument. That is confirmed by real datasheets: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89"/>
        <w:gridCol w:w="1046"/>
        <w:gridCol w:w="896"/>
        <w:gridCol w:w="2390"/>
        <w:gridCol w:w="8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 (real part)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mV/V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Flintec PC1-100kg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0.02% 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390 Ω, comp. temp −10…+40 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Flintec RC3-30t (rocker)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0.02% 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rated NTEP Class III 1:10,000, input 1150 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Zemic L6D/L6E/L6G (single-point)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~0.02% 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low-cost workhorse for mini platforms</w:t>
            </w:r>
          </w:p>
        </w:tc>
      </w:tr>
    </w:tbl>
    <w:p>
      <w:pPr>
        <w:pStyle w:val="BodyText"/>
      </w:pPr>
      <w:r>
        <w:t xml:space="preserve">Note the tension: a standard </w:t>
      </w:r>
      <w:r>
        <w:rPr>
          <w:bCs/>
          <w:b/>
        </w:rPr>
        <w:t xml:space="preserve">C3 cell’s combined error is 0.02% — that is 2× the 0.01% target.</w:t>
      </w:r>
      <w:r>
        <w:t xml:space="preserve"> It is listed as “1:10,000” for legal trade only because (a) legal maximum permissible error is </w:t>
      </w:r>
      <w:r>
        <w:rPr>
          <w:iCs/>
          <w:i/>
        </w:rPr>
        <w:t xml:space="preserve">graduated</w:t>
      </w:r>
      <w:r>
        <w:t xml:space="preserve"> (±0.5 e at low load, ±1.5 e at the top) and (b) the load cell is apportioned only ~70% of that error (the OIML p_LC = 0.7 factor). So C3 at 10,000 counts is right at the edge.</w:t>
      </w:r>
    </w:p>
    <w:p>
      <w:pPr>
        <w:pStyle w:val="BodyText"/>
      </w:pPr>
      <w:r>
        <w:rPr>
          <w:bCs/>
          <w:b/>
        </w:rPr>
        <w:t xml:space="preserve">How we actually hit ±0.01%: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Two-point calibration</w:t>
      </w:r>
      <w:r>
        <w:t xml:space="preserve"> (zero + deadweight span) removes the gain/span part of that 0.02%.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Multi-point firmware linearization</w:t>
      </w:r>
      <w:r>
        <w:t xml:space="preserve"> (e.g. 5-point) removes most of the </w:t>
      </w:r>
      <w:r>
        <w:rPr>
          <w:iCs/>
          <w:i/>
        </w:rPr>
        <w:t xml:space="preserve">nonlinearity</w:t>
      </w:r>
      <w:r>
        <w:t xml:space="preserve"> component, which is the largest correctable error.</w:t>
      </w:r>
    </w:p>
    <w:p>
      <w:pPr>
        <w:numPr>
          <w:ilvl w:val="0"/>
          <w:numId w:val="1002"/>
        </w:numPr>
        <w:pStyle w:val="Compact"/>
      </w:pPr>
      <w:r>
        <w:t xml:space="preserve">What is left is </w:t>
      </w:r>
      <w:r>
        <w:rPr>
          <w:bCs/>
          <w:b/>
        </w:rPr>
        <w:t xml:space="preserve">hysteresis + non-repeatability</w:t>
      </w:r>
      <w:r>
        <w:t xml:space="preserve"> (typically ~0.005–0.01% for good cells) plus temperature drift — that residual is the real accuracy floor.</w:t>
      </w:r>
    </w:p>
    <w:p>
      <w:pPr>
        <w:numPr>
          <w:ilvl w:val="0"/>
          <w:numId w:val="1002"/>
        </w:numPr>
        <w:pStyle w:val="Compact"/>
      </w:pPr>
      <w:r>
        <w:t xml:space="preserve">So: </w:t>
      </w:r>
      <w:r>
        <w:rPr>
          <w:bCs/>
          <w:b/>
        </w:rPr>
        <w:t xml:space="preserve">C3 cells + firmware linearization + ratiometric AD7190 + deadweight calibration gives ±0.01% of FS at reference temperature (≈20–30 °C).</w:t>
      </w:r>
      <w:r>
        <w:t xml:space="preserve"> For a </w:t>
      </w:r>
      <w:r>
        <w:rPr>
          <w:iCs/>
          <w:i/>
        </w:rPr>
        <w:t xml:space="preserve">guaranteed</w:t>
      </w:r>
      <w:r>
        <w:t xml:space="preserve"> ±0.01% across the full −10…+40 °C compensated band, I would </w:t>
      </w:r>
      <w:r>
        <w:rPr>
          <w:bCs/>
          <w:b/>
        </w:rPr>
        <w:t xml:space="preserve">specify C4/C6 cells</w:t>
      </w:r>
      <w:r>
        <w:t xml:space="preserve"> for the platforms that matter (cost trade-off in §14).</w:t>
      </w:r>
    </w:p>
    <w:bookmarkEnd w:id="25"/>
    <w:bookmarkStart w:id="26" w:name="X834231437a3a06684aad22e7282c37bd17dc180"/>
    <w:p>
      <w:pPr>
        <w:pStyle w:val="Heading2"/>
      </w:pPr>
      <w:r>
        <w:t xml:space="preserve">2.3 The ADC requirement — and why the electronics are the easy part</w:t>
      </w:r>
    </w:p>
    <w:p>
      <w:pPr>
        <w:pStyle w:val="FirstParagraph"/>
      </w:pPr>
      <w:r>
        <w:t xml:space="preserve">Signal available per count, for a 2 mV/V cell: full-scale bridge output = 2 mV/V × V_exc; at V_exc = 5 V that is </w:t>
      </w:r>
      <w:r>
        <w:rPr>
          <w:bCs/>
          <w:b/>
        </w:rPr>
        <w:t xml:space="preserve">10 mV full scale</w:t>
      </w:r>
      <w:r>
        <w:t xml:space="preserve">, so one count (1/10,000) = 10 mV / 10,000 = </w:t>
      </w:r>
      <w:r>
        <w:rPr>
          <w:bCs/>
          <w:b/>
        </w:rPr>
        <w:t xml:space="preserve">1.0 µV per count</w:t>
      </w:r>
      <w:r>
        <w:t xml:space="preserve">.</w:t>
      </w:r>
    </w:p>
    <w:p>
      <w:pPr>
        <w:pStyle w:val="BodyText"/>
      </w:pPr>
      <w:r>
        <w:t xml:space="preserve">To make a 10,000-count instrument rock-solid we want the ADC’s noise-free resolution several times finer than 1 µV. The </w:t>
      </w:r>
      <w:r>
        <w:rPr>
          <w:bCs/>
          <w:b/>
        </w:rPr>
        <w:t xml:space="preserve">Analog Devices AD7190</w:t>
      </w:r>
      <w:r>
        <w:t xml:space="preserve"> (24-bit Σ-Δ with integrated PGA, built for weigh scales) delivers rms noise of </w:t>
      </w:r>
      <w:r>
        <w:rPr>
          <w:bCs/>
          <w:b/>
        </w:rPr>
        <w:t xml:space="preserve">8.5 nV</w:t>
      </w:r>
      <w:r>
        <w:t xml:space="preserve"> at gain 128 / 4.7 Hz → </w:t>
      </w:r>
      <w:r>
        <w:rPr>
          <w:bCs/>
          <w:b/>
        </w:rPr>
        <w:t xml:space="preserve">20.5 noise-free bits</w:t>
      </w:r>
      <w:r>
        <w:t xml:space="preserve">, and at a usable 50 Hz update rate, gain 128, rms noise ≈ 28 nV → </w:t>
      </w:r>
      <w:r>
        <w:rPr>
          <w:bCs/>
          <w:b/>
        </w:rPr>
        <w:t xml:space="preserve">18.5 noise-free (peak-to-peak) bits</w:t>
      </w:r>
      <w:r>
        <w:t xml:space="preserve">.</w:t>
      </w:r>
    </w:p>
    <w:p>
      <w:pPr>
        <w:pStyle w:val="BodyText"/>
      </w:pPr>
      <w:r>
        <w:t xml:space="preserve">Over our 10 mV signal that is roughly </w:t>
      </w:r>
      <w:r>
        <w:rPr>
          <w:bCs/>
          <w:b/>
        </w:rPr>
        <w:t xml:space="preserve">54,000 stable counts</w:t>
      </w:r>
      <w:r>
        <w:t xml:space="preserve"> available against the 10,000 we need — about a </w:t>
      </w:r>
      <w:r>
        <w:rPr>
          <w:bCs/>
          <w:b/>
        </w:rPr>
        <w:t xml:space="preserve">5× electronic margin</w:t>
      </w:r>
      <w:r>
        <w:t xml:space="preserve">, at an update rate fast enough for live weighing. In other words, the electronics resolve ~5× finer than the best load cell can mechanically deliver, which is exactly the relationship you want: never let the converter be the bottleneck.</w:t>
      </w:r>
    </w:p>
    <w:bookmarkEnd w:id="26"/>
    <w:bookmarkStart w:id="27" w:name="Xdcca3aed3d6544e6288f039d337e73d40804caf"/>
    <w:p>
      <w:pPr>
        <w:pStyle w:val="Heading2"/>
      </w:pPr>
      <w:r>
        <w:t xml:space="preserve">2.4 Ratiometric measurement (the single most important front-end trick)</w:t>
      </w:r>
    </w:p>
    <w:p>
      <w:pPr>
        <w:pStyle w:val="FirstParagraph"/>
      </w:pPr>
      <w:r>
        <w:t xml:space="preserve">The load cell output is </w:t>
      </w:r>
      <w:r>
        <w:rPr>
          <w:iCs/>
          <w:i/>
        </w:rPr>
        <w:t xml:space="preserve">proportional to its excitation</w:t>
      </w:r>
      <w:r>
        <w:t xml:space="preserve"> (it is a ratiometric bridge). If we use the </w:t>
      </w:r>
      <w:r>
        <w:rPr>
          <w:bCs/>
          <w:b/>
        </w:rPr>
        <w:t xml:space="preserve">same excitation voltage as the ADC reference</w:t>
      </w:r>
      <w:r>
        <w:t xml:space="preserve">, any drift, noise or ripple on the excitation supply cancels exactly in the ratio. The AD7190 is designed for this — its reference inputs connect directly across the bridge excitation. So the excitation supply does </w:t>
      </w:r>
      <w:r>
        <w:rPr>
          <w:bCs/>
          <w:b/>
        </w:rPr>
        <w:t xml:space="preserve">not</w:t>
      </w:r>
      <w:r>
        <w:t xml:space="preserve"> need to be ultra-precise (a low-noise LDO is enough), and a whole class of error (excitation drift over temperature and time) simply disappears. Mains hum is handled by the ADC’s digital-filter notch, set for </w:t>
      </w:r>
      <w:r>
        <w:rPr>
          <w:bCs/>
          <w:b/>
        </w:rPr>
        <w:t xml:space="preserve">50 Hz rejection</w:t>
      </w:r>
      <w:r>
        <w:t xml:space="preserve"> — correct for India’s 50 Hz supply.</w:t>
      </w:r>
    </w:p>
    <w:bookmarkEnd w:id="27"/>
    <w:bookmarkStart w:id="28" w:name="X83c9e20a4d56daa1129adc2a4c28390b645557d"/>
    <w:p>
      <w:pPr>
        <w:pStyle w:val="Heading2"/>
      </w:pPr>
      <w:r>
        <w:t xml:space="preserve">2.5 Full system error budget (at reference temperature, post-calibration)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58"/>
        <w:gridCol w:w="3126"/>
        <w:gridCol w:w="1458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contribution (% 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Load-cell nonlinearity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~0.017%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(multi-point linearization)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~0.003%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Load-cell hysteresis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~0.01–0.02%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(mechanical)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~0.01–0.02% (floor)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Load-cell non-repeatability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~0.01%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Load-cell span /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(2-point 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ADC noise (AD7190, 50 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~0.002% (1/54,000)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ADC INL / gain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~0.001%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Ratiometric + 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Excitation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(cancels)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 (within comp. band)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±0.0017%/°C span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 (TC comp.)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wildcard</w:t>
            </w:r>
          </w:p>
        </w:tc>
      </w:tr>
    </w:tbl>
    <w:p>
      <w:pPr>
        <w:pStyle w:val="BodyText"/>
      </w:pPr>
      <w:r>
        <w:rPr>
          <w:bCs/>
          <w:b/>
        </w:rPr>
        <w:t xml:space="preserve">Bottom line:</w:t>
      </w:r>
      <w:r>
        <w:t xml:space="preserve"> at reference temperature the error is dominated by load-cell hysteresis and repeatability, landing around </w:t>
      </w:r>
      <w:r>
        <w:rPr>
          <w:bCs/>
          <w:b/>
        </w:rPr>
        <w:t xml:space="preserve">±0.005–0.015% with C3</w:t>
      </w:r>
      <w:r>
        <w:t xml:space="preserve"> and comfortably inside </w:t>
      </w:r>
      <w:r>
        <w:rPr>
          <w:bCs/>
          <w:b/>
        </w:rPr>
        <w:t xml:space="preserve">±0.01% with C4/C6</w:t>
      </w:r>
      <w:r>
        <w:t xml:space="preserve">. The electronics contribute under 0.003%. This is the reason I want to spend the budget on load cells, not on a faster MCU.</w:t>
      </w:r>
    </w:p>
    <w:bookmarkEnd w:id="28"/>
    <w:bookmarkStart w:id="29" w:name="the-auto-calibration-reality-check"/>
    <w:p>
      <w:pPr>
        <w:pStyle w:val="Heading2"/>
      </w:pPr>
      <w:r>
        <w:t xml:space="preserve">2.6 The auto-calibration reality check</w:t>
      </w:r>
    </w:p>
    <w:p>
      <w:pPr>
        <w:pStyle w:val="FirstParagraph"/>
      </w:pPr>
      <w:r>
        <w:t xml:space="preserve">Your specification asks for “auto-calibration </w:t>
      </w:r>
      <w:r>
        <w:rPr>
          <w:bCs/>
          <w:b/>
        </w:rPr>
        <w:t xml:space="preserve">without</w:t>
      </w:r>
      <w:r>
        <w:t xml:space="preserve"> weight standards” </w:t>
      </w:r>
      <w:r>
        <w:rPr>
          <w:iCs/>
          <w:i/>
        </w:rPr>
        <w:t xml:space="preserve">and</w:t>
      </w:r>
      <w:r>
        <w:t xml:space="preserve"> “±0.01% accuracy.” It is important to say now, rather than at delivery, that these two cannot both be true at the same time.</w:t>
      </w:r>
    </w:p>
    <w:p>
      <w:pPr>
        <w:pStyle w:val="BodyText"/>
      </w:pPr>
      <w:r>
        <w:t xml:space="preserve">Weightless (“electronic”) calibration — the technique behind Mettler-Toledo and Rice Lake </w:t>
      </w:r>
      <w:r>
        <w:rPr>
          <w:bCs/>
          <w:b/>
        </w:rPr>
        <w:t xml:space="preserve">CalFREE</w:t>
      </w:r>
      <w:r>
        <w:t xml:space="preserve"> — computes the span from the load cell’s </w:t>
      </w:r>
      <w:r>
        <w:rPr>
          <w:iCs/>
          <w:i/>
        </w:rPr>
        <w:t xml:space="preserve">rated</w:t>
      </w:r>
      <w:r>
        <w:t xml:space="preserve"> mV/V sensitivity and a factory-calibrated ADC. The industry documentation is explicit that this method calibrates the scale electronically only and is </w:t>
      </w:r>
      <w:r>
        <w:rPr>
          <w:iCs/>
          <w:i/>
        </w:rPr>
        <w:t xml:space="preserve">less accurate than test weights — suitable for an approximate calibration only</w:t>
      </w:r>
      <w:r>
        <w:t xml:space="preserve">. In practice it lands around </w:t>
      </w:r>
      <w:r>
        <w:rPr>
          <w:bCs/>
          <w:b/>
        </w:rPr>
        <w:t xml:space="preserve">0.1–0.5%</w:t>
      </w:r>
      <w:r>
        <w:t xml:space="preserve">, i.e. 10–50× worse than your target.</w:t>
      </w:r>
    </w:p>
    <w:p>
      <w:pPr>
        <w:pStyle w:val="BodyText"/>
      </w:pPr>
      <w:r>
        <w:rPr>
          <w:bCs/>
          <w:b/>
        </w:rPr>
        <w:t xml:space="preserve">What I recommend we build:</w:t>
      </w:r>
      <w:r>
        <w:t xml:space="preserve"> implement </w:t>
      </w:r>
      <w:r>
        <w:rPr>
          <w:bCs/>
          <w:b/>
        </w:rPr>
        <w:t xml:space="preserve">both</w:t>
      </w:r>
      <w:r>
        <w:t xml:space="preserve">. Weightless auto-calibration for fast field setup and for tanks/silos where weights cannot be placed; and </w:t>
      </w:r>
      <w:r>
        <w:rPr>
          <w:bCs/>
          <w:b/>
        </w:rPr>
        <w:t xml:space="preserve">manual deadweight calibration with certified weights</w:t>
      </w:r>
      <w:r>
        <w:t xml:space="preserve"> as the mode that actually reaches and verifies ±0.01%. The UI and manual will state clearly that ±0.01% is guaranteed only after deadweight calibration and that auto-calibration is an approximate mode. This matches how the professional indicators document it and protects us both from a “the scale isn’t 0.01%” dispute later.</w:t>
      </w:r>
    </w:p>
    <w:bookmarkEnd w:id="29"/>
    <w:bookmarkEnd w:id="30"/>
    <w:bookmarkStart w:id="37" w:name="analog-front-end-and-adc-selection"/>
    <w:p>
      <w:pPr>
        <w:pStyle w:val="Heading1"/>
      </w:pPr>
      <w:r>
        <w:t xml:space="preserve">3. Analog front-end and ADC selection</w:t>
      </w:r>
    </w:p>
    <w:bookmarkStart w:id="31" w:name="adc-comparison"/>
    <w:p>
      <w:pPr>
        <w:pStyle w:val="Heading2"/>
      </w:pPr>
      <w:r>
        <w:t xml:space="preserve">3.1 ADC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5"/>
        <w:gridCol w:w="1287"/>
        <w:gridCol w:w="1683"/>
        <w:gridCol w:w="1287"/>
        <w:gridCol w:w="594"/>
        <w:gridCol w:w="25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 /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Noise-free 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 for this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AD7190 (ADI)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24-bit Σ-Δ, internal PGA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~20.5 b @ 4.7 Hz, ~18.5 b @ 50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1–128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choice.</w:t>
            </w:r>
            <w:r>
              <w:t xml:space="preserve"> Lowest noise, built for weigh scales, ratiometric reference, channel sequencer.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AD7192 (ADI)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24-bit Σ-Δ, PGA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 nV rms (slightly noisier)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Pin-compatible cheaper alternate; use if AD7190 supply/cost is an issue.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ADS1232 / ADS1235 (TI)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24-bit Σ-Δ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good, 2nd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second source if dual-sourcing ADI is a concern.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NAU7802 (Nuvoton)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Cheap, I²C, OK for the mini platform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HX711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~13–15 noise-free bits in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(internal reg)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32/64/128 fixed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Rejected for the main instrument.</w:t>
            </w:r>
            <w:r>
              <w:t xml:space="preserve"> Fine for a 3,000-count scale; its noise, fixed gains and temperature drift make a guaranteed 10,000-count instrument across temperature unreliable.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Decision: AD7190 on the indicator PCB</w:t>
      </w:r>
      <w:r>
        <w:t xml:space="preserve">, SPI to the ESP32-S3, gain 128, sinc4 filter with the 50 Hz notch, ratiometric reference across the bridge excitation. I will lay the footprint so the AD7192 also fits, as a cost-down option.</w:t>
      </w:r>
    </w:p>
    <w:bookmarkEnd w:id="31"/>
    <w:bookmarkStart w:id="35" w:name="front-end-signal-path"/>
    <w:p>
      <w:pPr>
        <w:pStyle w:val="Heading2"/>
      </w:pPr>
      <w:r>
        <w:t xml:space="preserve">3.2 Front-end signal path</w:t>
      </w:r>
    </w:p>
    <w:p>
      <w:pPr>
        <w:pStyle w:val="CaptionedFigure"/>
      </w:pPr>
      <w:r>
        <w:drawing>
          <wp:inline>
            <wp:extent cx="5334000" cy="643400"/>
            <wp:effectExtent b="0" l="0" r="0" t="0"/>
            <wp:docPr descr="Analog front-end signal path" title="" id="33" name="Picture"/>
            <a:graphic>
              <a:graphicData uri="http://schemas.openxmlformats.org/drawingml/2006/picture">
                <pic:pic>
                  <pic:nvPicPr>
                    <pic:cNvPr descr="diagrams/d2_af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Analog front-end signal path</w:t>
      </w:r>
    </w:p>
    <w:p>
      <w:pPr>
        <w:pStyle w:val="BodyText"/>
      </w:pPr>
      <w:r>
        <w:t xml:space="preserve">Things in this path that protect the accuracy: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6-wire (sense) connection</w:t>
      </w:r>
      <w:r>
        <w:t xml:space="preserve"> to the bridge so cable resistance and temperature do not corrupt excitation; the sense lines feed the ratiometric reference.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EMI/RFI input filtering</w:t>
      </w:r>
      <w:r>
        <w:t xml:space="preserve"> (matched RC + common-mode choke) at the signal inputs — weigh-scale front-ends pick up RF, so this is not optional.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TVS / clamp diodes</w:t>
      </w:r>
      <w:r>
        <w:t xml:space="preserve"> on signal and excitation against ESD and field surges (these cables can be long).</w:t>
      </w:r>
    </w:p>
    <w:p>
      <w:pPr>
        <w:numPr>
          <w:ilvl w:val="0"/>
          <w:numId w:val="1003"/>
        </w:numPr>
        <w:pStyle w:val="Compact"/>
      </w:pPr>
      <w:r>
        <w:t xml:space="preserve">A quiet analog ground island, single-point tied to digital ground, with guarded high-impedance signal traces.</w:t>
      </w:r>
    </w:p>
    <w:bookmarkEnd w:id="35"/>
    <w:bookmarkStart w:id="36" w:name="a-note-on-the-mains-supply-india"/>
    <w:p>
      <w:pPr>
        <w:pStyle w:val="Heading2"/>
      </w:pPr>
      <w:r>
        <w:t xml:space="preserve">3.3 A note on the mains supply (India)</w:t>
      </w:r>
    </w:p>
    <w:p>
      <w:pPr>
        <w:pStyle w:val="FirstParagraph"/>
      </w:pPr>
      <w:r>
        <w:t xml:space="preserve">India’s mains is </w:t>
      </w:r>
      <w:r>
        <w:rPr>
          <w:bCs/>
          <w:b/>
        </w:rPr>
        <w:t xml:space="preserve">230 V / 50 Hz</w:t>
      </w:r>
      <w:r>
        <w:t xml:space="preserve"> (the spec’s “220 VAC” sits inside the Indian 220–240 V band). I will use a </w:t>
      </w:r>
      <w:r>
        <w:rPr>
          <w:bCs/>
          <w:b/>
        </w:rPr>
        <w:t xml:space="preserve">universal-input SMPS</w:t>
      </w:r>
      <w:r>
        <w:t xml:space="preserve"> so the unit tolerates Indian supply variation, and the ADC’s digital filter is set to the </w:t>
      </w:r>
      <w:r>
        <w:rPr>
          <w:bCs/>
          <w:b/>
        </w:rPr>
        <w:t xml:space="preserve">50 Hz</w:t>
      </w:r>
      <w:r>
        <w:t xml:space="preserve"> notch, which is correct here.</w:t>
      </w:r>
    </w:p>
    <w:bookmarkEnd w:id="36"/>
    <w:bookmarkEnd w:id="37"/>
    <w:bookmarkStart w:id="40" w:name="microcontroller-selection-esp32-family"/>
    <w:p>
      <w:pPr>
        <w:pStyle w:val="Heading1"/>
      </w:pPr>
      <w:r>
        <w:t xml:space="preserve">4. Microcontroller selection (ESP32 family)</w:t>
      </w:r>
    </w:p>
    <w:bookmarkStart w:id="38" w:name="why-esp32-s3"/>
    <w:p>
      <w:pPr>
        <w:pStyle w:val="Heading2"/>
      </w:pPr>
      <w:r>
        <w:t xml:space="preserve">4.1 Why ESP32-S3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28"/>
        <w:gridCol w:w="2048"/>
        <w:gridCol w:w="1365"/>
        <w:gridCol w:w="2594"/>
        <w:gridCol w:w="6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Cores /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I/O &amp; peripherals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 (classic)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240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4 + BT/BLE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Works, but older silicon.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ESP32-S3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240 MHz (LX7)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4 + BLE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 GPIO, 4× SPI, 3× UART, 2× I²C, RAM + PSRAM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Selected.</w:t>
            </w:r>
            <w:r>
              <w:t xml:space="preserve"> Best balance: enough peripherals for ADC + RS-485 + RS-232 + DAC + keypad + local display, and on-chip Wi-Fi for MQTT and the mobile 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ESP32-C6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160 MHz RISC-V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6 + BLE + 802.15.4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radios but single-core and pin-tight for this many buses.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ESP32-P4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400 MHz RISC-V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(needs companion radio)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Overkill on compute and no built-in radio — wrong tool.</w:t>
            </w:r>
          </w:p>
        </w:tc>
      </w:tr>
    </w:tbl>
    <w:p>
      <w:pPr>
        <w:pStyle w:val="BodyText"/>
      </w:pPr>
      <w:r>
        <w:t xml:space="preserve">The job is </w:t>
      </w:r>
      <w:r>
        <w:rPr>
          <w:bCs/>
          <w:b/>
        </w:rPr>
        <w:t xml:space="preserve">peripheral-bound, not compute-bound</w:t>
      </w:r>
      <w:r>
        <w:t xml:space="preserve">: the hard work (the Σ-Δ conversion and filtering) happens in the AD7190, so we do not need the P4’s horsepower. We need plenty of I/O and </w:t>
      </w:r>
      <w:r>
        <w:rPr>
          <w:bCs/>
          <w:b/>
        </w:rPr>
        <w:t xml:space="preserve">on-chip Wi-Fi</w:t>
      </w:r>
      <w:r>
        <w:t xml:space="preserve"> for the MQTT link to the wireless displays and the mobile app — which makes the </w:t>
      </w:r>
      <w:r>
        <w:rPr>
          <w:bCs/>
          <w:b/>
        </w:rPr>
        <w:t xml:space="preserve">ESP32-S3 the correct pick</w:t>
      </w:r>
      <w:r>
        <w:t xml:space="preserve">. Because the wireless displays now run over Wi-Fi/MQTT (§9), there is </w:t>
      </w:r>
      <w:r>
        <w:rPr>
          <w:bCs/>
          <w:b/>
        </w:rPr>
        <w:t xml:space="preserve">no separate radio module</w:t>
      </w:r>
      <w:r>
        <w:t xml:space="preserve"> to add.</w:t>
      </w:r>
    </w:p>
    <w:p>
      <w:pPr>
        <w:pStyle w:val="BodyText"/>
      </w:pPr>
      <w:r>
        <w:rPr>
          <w:bCs/>
          <w:b/>
        </w:rPr>
        <w:t xml:space="preserve">Recommended module:</w:t>
      </w:r>
      <w:r>
        <w:t xml:space="preserve"> </w:t>
      </w:r>
      <w:r>
        <w:rPr>
          <w:rStyle w:val="VerbatimChar"/>
        </w:rPr>
        <w:t xml:space="preserve">ESP32-S3-WROOM-1-N16R8</w:t>
      </w:r>
      <w:r>
        <w:t xml:space="preserve"> (16 MB flash, 8 MB PSRAM) — a pre-certified module that saves us the 2.4 GHz RF compliance work (it should carry WPC/ETA approval for sale in India).</w:t>
      </w:r>
    </w:p>
    <w:bookmarkEnd w:id="38"/>
    <w:bookmarkStart w:id="39" w:name="peripheral-pin-budget-proof-it-fits"/>
    <w:p>
      <w:pPr>
        <w:pStyle w:val="Heading2"/>
      </w:pPr>
      <w:r>
        <w:t xml:space="preserve">4.2 Peripheral / pin budget (proof it fits)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00"/>
        <w:gridCol w:w="1800"/>
        <w:gridCol w:w="2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AD7190 ADC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DRDY/CS GPIO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Wi-Fi (MQTT + mobile 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pins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RS-485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UART1 + DE/RE 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transceiver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RS-232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MAX3232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Analog out DAC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or I²C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AD5421 / MCP4922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EEPROM (backup of NVS)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I²C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on-chip NVS in flash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display (LCD HT1622 / 7-seg driver)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I²C or 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function keys + ON/OFF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7× GPIO (or matrix)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RC debounce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LED + status LEDs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2–3× GPIO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 power / load-switch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latching power (§10)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Mains-present / battery-status 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ADC 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power-path + low-battery warning</w:t>
            </w:r>
          </w:p>
        </w:tc>
      </w:tr>
    </w:tbl>
    <w:p>
      <w:pPr>
        <w:pStyle w:val="BodyText"/>
      </w:pPr>
      <w:r>
        <w:t xml:space="preserve">Comfortably within the S3’s pin count, with a UART freed now that there is no external radio.</w:t>
      </w:r>
    </w:p>
    <w:bookmarkEnd w:id="39"/>
    <w:bookmarkEnd w:id="40"/>
    <w:bookmarkStart w:id="47" w:name="junction-box-design-4-6-8-10-cells"/>
    <w:p>
      <w:pPr>
        <w:pStyle w:val="Heading1"/>
      </w:pPr>
      <w:r>
        <w:t xml:space="preserve">5. Junction box design (4 / 6 / 8 / 10 cells)</w:t>
      </w:r>
    </w:p>
    <w:bookmarkStart w:id="41" w:name="Xa7eb04303cd98f380ec8693f257e3341a42935c"/>
    <w:p>
      <w:pPr>
        <w:pStyle w:val="Heading2"/>
      </w:pPr>
      <w:r>
        <w:t xml:space="preserve">5.1 The trimmer-pot constraint changes the topology</w:t>
      </w:r>
    </w:p>
    <w:p>
      <w:pPr>
        <w:pStyle w:val="FirstParagraph"/>
      </w:pPr>
      <w:r>
        <w:t xml:space="preserve">Your “Don’ts” image is a tray of blue through-hole </w:t>
      </w:r>
      <w:r>
        <w:rPr>
          <w:bCs/>
          <w:b/>
        </w:rPr>
        <w:t xml:space="preserve">multi-turn trimmer potentiometers</w:t>
      </w:r>
      <w:r>
        <w:t xml:space="preserve">, with “do not use these” and “use every component in SMD.” In a classic analog junction box those trimpots are exactly how </w:t>
      </w:r>
      <w:r>
        <w:rPr>
          <w:bCs/>
          <w:b/>
        </w:rPr>
        <w:t xml:space="preserve">corner adjustment</w:t>
      </w:r>
      <w:r>
        <w:t xml:space="preserve"> (making each cell read the same for an off-centre load) is done. That method is now ruled out, so I will use one of two compliant approaches:</w:t>
      </w:r>
    </w:p>
    <w:p>
      <w:pPr>
        <w:pStyle w:val="BodyText"/>
      </w:pPr>
      <w:r>
        <w:rPr>
          <w:bCs/>
          <w:b/>
        </w:rPr>
        <w:t xml:space="preserve">Option A — analog summing + digital corner trim (recommended, cost-effective):</w:t>
      </w:r>
      <w:r>
        <w:t xml:space="preserve"> cells are summed in parallel as usual, but each cell’s gain is trimmed by an </w:t>
      </w:r>
      <w:r>
        <w:rPr>
          <w:bCs/>
          <w:b/>
        </w:rPr>
        <w:t xml:space="preserve">SMD non-volatile digital potentiometer</w:t>
      </w:r>
      <w:r>
        <w:t xml:space="preserve"> (e.g. AD5142A) controlled by the indicator over I²C. Corner calibration becomes a </w:t>
      </w:r>
      <w:r>
        <w:rPr>
          <w:iCs/>
          <w:i/>
        </w:rPr>
        <w:t xml:space="preserve">menu function</w:t>
      </w:r>
      <w:r>
        <w:t xml:space="preserve"> (place a known weight on each corner, the indicator nudges the digipot) — no screwdriver, no through-hole parts, all SMD, and the trim survives power-down in the digipot’s EEPROM.</w:t>
      </w:r>
    </w:p>
    <w:p>
      <w:pPr>
        <w:pStyle w:val="BodyText"/>
      </w:pPr>
      <w:r>
        <w:rPr>
          <w:bCs/>
          <w:b/>
        </w:rPr>
        <w:t xml:space="preserve">Option B — per-cell digitization + firmware summing (highest accuracy):</w:t>
      </w:r>
      <w:r>
        <w:t xml:space="preserve"> each cell (or each pair, via an SMD analog mux such as ADG1607) is read individually by the ADC’s channel sequencer; the indicator sums them in firmware with a per-cell calibration coefficient. No analog trim at all — corner calibration is pure software, and it gives the best accuracy plus per-cell diagnostics (it can detect a single failing or disconnected cell, which also satisfies the optional “don’t allow calibration if a cell is faulty/disconnected” requirement). It costs more channels/mux and firmware effort.</w:t>
      </w:r>
    </w:p>
    <w:p>
      <w:pPr>
        <w:pStyle w:val="BodyText"/>
      </w:pPr>
      <w:r>
        <w:rPr>
          <w:bCs/>
          <w:b/>
        </w:rPr>
        <w:t xml:space="preserve">My recommendation:</w:t>
      </w:r>
      <w:r>
        <w:t xml:space="preserve"> ship </w:t>
      </w:r>
      <w:r>
        <w:rPr>
          <w:bCs/>
          <w:b/>
        </w:rPr>
        <w:t xml:space="preserve">Option A</w:t>
      </w:r>
      <w:r>
        <w:t xml:space="preserve"> as the standard junction box (cheap, all-SMD, compliant) and offer </w:t>
      </w:r>
      <w:r>
        <w:rPr>
          <w:bCs/>
          <w:b/>
        </w:rPr>
        <w:t xml:space="preserve">Option B</w:t>
      </w:r>
      <w:r>
        <w:t xml:space="preserve"> as the premium/diagnostic variant for high-cell-count heavy platforms.</w:t>
      </w:r>
    </w:p>
    <w:bookmarkEnd w:id="41"/>
    <w:bookmarkStart w:id="45" w:name="junction-box-block-diagram"/>
    <w:p>
      <w:pPr>
        <w:pStyle w:val="Heading2"/>
      </w:pPr>
      <w:r>
        <w:t xml:space="preserve">5.2 Junction-box block diagram</w:t>
      </w:r>
    </w:p>
    <w:p>
      <w:pPr>
        <w:pStyle w:val="CaptionedFigure"/>
      </w:pPr>
      <w:r>
        <w:drawing>
          <wp:inline>
            <wp:extent cx="5334000" cy="1312897"/>
            <wp:effectExtent b="0" l="0" r="0" t="0"/>
            <wp:docPr descr="Junction box" title="" id="43" name="Picture"/>
            <a:graphic>
              <a:graphicData uri="http://schemas.openxmlformats.org/drawingml/2006/picture">
                <pic:pic>
                  <pic:nvPicPr>
                    <pic:cNvPr descr="diagrams/d3_jbox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2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Junction box</w:t>
      </w:r>
    </w:p>
    <w:bookmarkEnd w:id="45"/>
    <w:bookmarkStart w:id="46" w:name="X7870125ecfab85c525fa0b6e864567bb2c9567e"/>
    <w:p>
      <w:pPr>
        <w:pStyle w:val="Heading2"/>
      </w:pPr>
      <w:r>
        <w:t xml:space="preserve">5.3 Common requirements for all four variants</w:t>
      </w:r>
    </w:p>
    <w:p>
      <w:pPr>
        <w:numPr>
          <w:ilvl w:val="0"/>
          <w:numId w:val="1004"/>
        </w:numPr>
        <w:pStyle w:val="Compact"/>
      </w:pPr>
      <w:r>
        <w:t xml:space="preserve">Same PCB family, populated for 4/6/8/10 cells (depopulate channels for smaller boxes) — one design, four BOMs.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6-wire</w:t>
      </w:r>
      <w:r>
        <w:t xml:space="preserve"> pass-through (sense lines) to preserve ratiometric accuracy on long runs.</w:t>
      </w:r>
    </w:p>
    <w:p>
      <w:pPr>
        <w:numPr>
          <w:ilvl w:val="0"/>
          <w:numId w:val="1004"/>
        </w:numPr>
        <w:pStyle w:val="Compact"/>
      </w:pPr>
      <w:r>
        <w:t xml:space="preserve">Per-line </w:t>
      </w:r>
      <w:r>
        <w:rPr>
          <w:bCs/>
          <w:b/>
        </w:rPr>
        <w:t xml:space="preserve">gas-discharge tube + TVS</w:t>
      </w:r>
      <w:r>
        <w:t xml:space="preserve"> surge protection (field cabling sees lightning-induced and static surges).</w:t>
      </w:r>
    </w:p>
    <w:p>
      <w:pPr>
        <w:numPr>
          <w:ilvl w:val="0"/>
          <w:numId w:val="1004"/>
        </w:numPr>
        <w:pStyle w:val="Compact"/>
      </w:pPr>
      <w:r>
        <w:t xml:space="preserve">Conformal-coated, IP-rated enclosure; cable glands sized per variant.</w:t>
      </w:r>
    </w:p>
    <w:p>
      <w:pPr>
        <w:numPr>
          <w:ilvl w:val="0"/>
          <w:numId w:val="1004"/>
        </w:numPr>
        <w:pStyle w:val="Compact"/>
      </w:pPr>
      <w:r>
        <w:t xml:space="preserve">On high-cell-count platforms, use </w:t>
      </w:r>
      <w:r>
        <w:rPr>
          <w:bCs/>
          <w:b/>
        </w:rPr>
        <w:t xml:space="preserve">700–1000 Ω cells</w:t>
      </w:r>
      <w:r>
        <w:t xml:space="preserve"> (not 350 Ω) to keep excitation current sane (see §7 budget).</w:t>
      </w:r>
    </w:p>
    <w:bookmarkEnd w:id="46"/>
    <w:bookmarkEnd w:id="47"/>
    <w:bookmarkStart w:id="54" w:name="power-system-mains-battery-backup"/>
    <w:p>
      <w:pPr>
        <w:pStyle w:val="Heading1"/>
      </w:pPr>
      <w:r>
        <w:t xml:space="preserve">6. Power system (mains + battery backup)</w:t>
      </w:r>
    </w:p>
    <w:bookmarkStart w:id="51" w:name="topology"/>
    <w:p>
      <w:pPr>
        <w:pStyle w:val="Heading2"/>
      </w:pPr>
      <w:r>
        <w:t xml:space="preserve">6.1 Topology</w:t>
      </w:r>
    </w:p>
    <w:p>
      <w:pPr>
        <w:pStyle w:val="CaptionedFigure"/>
      </w:pPr>
      <w:r>
        <w:drawing>
          <wp:inline>
            <wp:extent cx="5334000" cy="399214"/>
            <wp:effectExtent b="0" l="0" r="0" t="0"/>
            <wp:docPr descr="Power system topology" title="" id="49" name="Picture"/>
            <a:graphic>
              <a:graphicData uri="http://schemas.openxmlformats.org/drawingml/2006/picture">
                <pic:pic>
                  <pic:nvPicPr>
                    <pic:cNvPr descr="diagrams/d4_power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Power system topology</w:t>
      </w:r>
    </w:p>
    <w:bookmarkEnd w:id="51"/>
    <w:bookmarkStart w:id="52" w:name="why-this-topology"/>
    <w:p>
      <w:pPr>
        <w:pStyle w:val="Heading2"/>
      </w:pPr>
      <w:r>
        <w:t xml:space="preserve">6.2 Why this topology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Diode-OR (ideal-diode) power path:</w:t>
      </w:r>
      <w:r>
        <w:t xml:space="preserve"> with mains present, the 12 V rail (higher voltage) powers the bucks </w:t>
      </w:r>
      <w:r>
        <w:rPr>
          <w:iCs/>
          <w:i/>
        </w:rPr>
        <w:t xml:space="preserve">and</w:t>
      </w:r>
      <w:r>
        <w:t xml:space="preserve"> the charger tops up the battery; when mains fails, the 6.4 V battery seamlessly takes over the buck inputs (the bucks accept ~5.5–15 V). No relays, no glitches. I will use an </w:t>
      </w:r>
      <w:r>
        <w:rPr>
          <w:bCs/>
          <w:b/>
        </w:rPr>
        <w:t xml:space="preserve">ideal-diode controller (LM74700-Q1 / LTC4412)</w:t>
      </w:r>
      <w:r>
        <w:t xml:space="preserve"> rather than plain Schottkys to avoid the 0.3–0.5 V drop and heat.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Separate analog rail:</w:t>
      </w:r>
      <w:r>
        <w:t xml:space="preserve"> the AD7190 and bridge excitation are fed from a </w:t>
      </w:r>
      <w:r>
        <w:rPr>
          <w:bCs/>
          <w:b/>
        </w:rPr>
        <w:t xml:space="preserve">low-noise LDO</w:t>
      </w:r>
      <w:r>
        <w:t xml:space="preserve"> (ADP7142 / TPS7A47) downstream of the 5 V buck, so switching ripple never reaches the µV-level analog path.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Universal-input SMPS + EMI filter + MOV + fuse</w:t>
      </w:r>
      <w:r>
        <w:t xml:space="preserve"> on the AC inlet — mandatory for a mains product, and it also keeps conducted noise out of the ±0.01% measurement.</w:t>
      </w:r>
    </w:p>
    <w:bookmarkEnd w:id="52"/>
    <w:bookmarkStart w:id="53" w:name="recommended-power-parts"/>
    <w:p>
      <w:pPr>
        <w:pStyle w:val="Heading2"/>
      </w:pPr>
      <w:r>
        <w:t xml:space="preserve">6.3 Recommended power parts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32"/>
        <w:gridCol w:w="4950"/>
        <w:gridCol w:w="12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part(s)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AC-DC SMPS 12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Well IRM-20-12 / IRM-30-12 (PCB-mount, universal input)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module shortcuts safety/EMC; spec already mandates SMPS.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V→5 V buck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TPS54331 / LMR33630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Cheap, SMD, wide-Vin, handles excitation + display 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V→3.3 V buck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LMR33630 / TPS562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+ Wi-Fi rail.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Analog 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ADP7142 / TPS7A4700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Ultra-low-noise for excitation/reference.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Ideal-diode 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LM74700-Q1 / LTC4412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Lossless power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CN3768 (LiFePO4) / LTC4015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CC/CV, programmable.</w:t>
            </w:r>
          </w:p>
        </w:tc>
      </w:tr>
    </w:tbl>
    <w:bookmarkEnd w:id="53"/>
    <w:bookmarkEnd w:id="54"/>
    <w:bookmarkStart w:id="62" w:name="X7154323cdff45c85c775b3ae44e9beab123092c"/>
    <w:p>
      <w:pPr>
        <w:pStyle w:val="Heading1"/>
      </w:pPr>
      <w:r>
        <w:t xml:space="preserve">7. Battery and BMS — chemistry, sizing, and runtime</w:t>
      </w:r>
    </w:p>
    <w:bookmarkStart w:id="55" w:name="X7c45b98dbbdebdff5f15c3150d3fbfcff6c0560"/>
    <w:p>
      <w:pPr>
        <w:pStyle w:val="Heading2"/>
      </w:pPr>
      <w:r>
        <w:t>7.1 Chemistry comparison (against the “6 V” requirement)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13"/>
        <w:gridCol w:w="1381"/>
        <w:gridCol w:w="1013"/>
        <w:gridCol w:w="1105"/>
        <w:gridCol w:w="736"/>
        <w:gridCol w:w="1841"/>
        <w:gridCol w:w="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Chemistry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 for ≈6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Nominal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t>Drop-in for “6 V”?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LiFePO4 (LFP)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~2,000–2,500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(no thermal runaway)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sold as a 6 V SLA replacement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Sealed lead-acid (SLA)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~300–500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(the original)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Heavy, short life, only ~50% usable — the thing we are replacing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Li-ion (NMC)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~500–1000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(runaway risk)</w:t>
            </w:r>
          </w:p>
        </w:tc>
        <w:tc>
          <w:tcPr/>
          <w:p>
            <w:pPr>
              <w:pStyle w:val="Compact"/>
              <w:jc w:val="left"/>
            </w:pPr>
            <w:r>
              <w:t>No — 7.4 V ≠ “6 V”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voltage and worse safety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Li-polymer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~300–500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7.4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problem; pouch format unsuitable for industrial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2S LiFePO4 wins:</w:t>
      </w:r>
      <w:r>
        <w:t xml:space="preserve"> it is the only lithium chemistry whose nominal voltage (6.4 V, range ~5.0–7.2 V) actually matches “6 V”; it is the safe choice for an industrial product (LiFePO4 does not go into thermal runaway the way Li-ion/LiPo can); it tolerates near-100% depth of discharge (vs ~50% for SLA); and it lasts 5–8× more cycles than SLA. It is sold as a 6 V SLA drop-in (e.g. the 6.4 V 4.5 Ah LFP modules with integral protection, rated ~2,500 cycles).</w:t>
      </w:r>
    </w:p>
    <w:bookmarkEnd w:id="55"/>
    <w:bookmarkStart w:id="56" w:name="Xd9602af3d2c37bc972bcfe01c8472e3372be5b0"/>
    <w:p>
      <w:pPr>
        <w:pStyle w:val="Heading2"/>
      </w:pPr>
      <w:r>
        <w:t xml:space="preserve">7.2 Power budget (indicator on battery, Wi-Fi/MQTT active, mini platform)</w:t>
      </w:r>
    </w:p>
    <w:p>
      <w:pPr>
        <w:pStyle w:val="FirstParagraph"/>
      </w:pPr>
      <w:r>
        <w:t xml:space="preserve">Because the wireless displays now run over Wi-Fi/MQTT, the indicator keeps its Wi-Fi associated and publishing in normal use — which draws more than a sleepy dedicated radio would. The budget reflects that: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11"/>
        <w:gridCol w:w="1638"/>
        <w:gridCol w:w="2457"/>
        <w:gridCol w:w="19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ESP32-S3 + Wi-Fi (associated, MQTT publishing, modem-sleep)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~280 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AD7190 ADC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V (analog)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 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Load-cell excitation (1× 390 Ω @5 V, mini)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~64 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RS-485 transceiver (idle/RX)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RS-232 transceiver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 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LCD (HT1622 + green backlight)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~26 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EEPROM / I²C / misc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+ status LEDs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subtotal (rails)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0.48 W</w:t>
            </w:r>
          </w:p>
        </w:tc>
      </w:tr>
    </w:tbl>
    <w:p>
      <w:pPr>
        <w:pStyle w:val="BodyText"/>
      </w:pPr>
      <w:r>
        <w:t xml:space="preserve">With margin for Wi-Fi bursts and a brighter display, I design to </w:t>
      </w:r>
      <w:r>
        <w:rPr>
          <w:bCs/>
          <w:b/>
        </w:rPr>
        <w:t xml:space="preserve">≈ 0.7 W at the rails</w:t>
      </w:r>
      <w:r>
        <w:t xml:space="preserve">. Through the bucks (η ≈ 88%) that is ≈ 0.8 W, i.e. </w:t>
      </w:r>
      <w:r>
        <w:rPr>
          <w:bCs/>
          <w:b/>
        </w:rPr>
        <w:t xml:space="preserve">≈ 125 mA from a 6.4 V pack</w:t>
      </w:r>
      <w:r>
        <w:t xml:space="preserve">.</w:t>
      </w:r>
    </w:p>
    <w:bookmarkEnd w:id="56"/>
    <w:bookmarkStart w:id="57" w:name="runtime"/>
    <w:p>
      <w:pPr>
        <w:pStyle w:val="Heading2"/>
      </w:pPr>
      <w:r>
        <w:t xml:space="preserve">7.3 Runtime</w:t>
      </w:r>
    </w:p>
    <w:p>
      <w:pPr>
        <w:pStyle w:val="FirstParagraph"/>
      </w:pPr>
      <w:r>
        <w:t xml:space="preserve">Runtime = usable Ah / pack current; LiFePO4 usable ≈ 90% of rated.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"/>
        <w:gridCol w:w="544"/>
        <w:gridCol w:w="2425"/>
        <w:gridCol w:w="2079"/>
        <w:gridCol w:w="25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Usable 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off (local display only, ~0.45 W ≈ 70 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Typical, Wi-Fi + MQTT (~0.8 W ≈ 125 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(10-cell + Wi-Fi + bright, ~1.7 W ≈ 266 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2S 3 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~38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2S 4.5 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~58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2S 6 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~77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~43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 h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Recommendation: a 2S LiFePO4 6.4 V, 4.5–6 Ah pack</w:t>
      </w:r>
      <w:r>
        <w:t xml:space="preserve">, giving ~1.3–1.8 days of backup at typical (Wi-Fi-on) load. Two useful levers: on high-cell-count platforms use 700–1000 Ω cells to cut excitation current; and on a mains-loss event we can </w:t>
      </w:r>
      <w:r>
        <w:rPr>
          <w:bCs/>
          <w:b/>
        </w:rPr>
        <w:t xml:space="preserve">automatically drop Wi-Fi</w:t>
      </w:r>
      <w:r>
        <w:t xml:space="preserve"> (keeping only the local display alive), which roughly doubles backup time if the remote displays have their own power. Final capacity to be locked once you confirm the worst-case configuration that must run on battery.</w:t>
      </w:r>
    </w:p>
    <w:bookmarkEnd w:id="57"/>
    <w:bookmarkStart w:id="61" w:name="bms-and-charging"/>
    <w:p>
      <w:pPr>
        <w:pStyle w:val="Heading2"/>
      </w:pPr>
      <w:r>
        <w:t xml:space="preserve">7.4 BMS and charging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BMS (2S LiFePO4):</w:t>
      </w:r>
      <w:r>
        <w:t xml:space="preserve"> per-cell overcharge cutoff </w:t>
      </w:r>
      <w:r>
        <w:rPr>
          <w:bCs/>
          <w:b/>
        </w:rPr>
        <w:t xml:space="preserve">3.65 V</w:t>
      </w:r>
      <w:r>
        <w:t xml:space="preserve">, over-discharge cutoff </w:t>
      </w:r>
      <w:r>
        <w:rPr>
          <w:bCs/>
          <w:b/>
        </w:rPr>
        <w:t xml:space="preserve">~2.0–2.5 V</w:t>
      </w:r>
      <w:r>
        <w:t xml:space="preserve">, overcurrent + short-circuit protection, and </w:t>
      </w:r>
      <w:r>
        <w:rPr>
          <w:bCs/>
          <w:b/>
        </w:rPr>
        <w:t xml:space="preserve">passive balancing</w:t>
      </w:r>
      <w:r>
        <w:t xml:space="preserve"> during charge. For a product I would put an integrated AFE (e.g. BQ77216 / BQ769x) on our own PCB, which also gives a fuel-gauge readout to the MCU.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Charge profile:</w:t>
      </w:r>
      <w:r>
        <w:t xml:space="preserve"> CC/CV, </w:t>
      </w:r>
      <w:r>
        <w:rPr>
          <w:bCs/>
          <w:b/>
        </w:rPr>
        <w:t xml:space="preserve">CV = 7.2 V (3.6 V/cell)</w:t>
      </w:r>
      <w:r>
        <w:t xml:space="preserve">, charge current ~0.2–0.5C (≈1–2 A for a 4.5 Ah pack), empty→full ≈ 3–4 h. Charger fed from the 12 V SMPS rail; BMS handles balance + protection.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MCU integration:</w:t>
      </w:r>
      <w:r>
        <w:t xml:space="preserve"> feed mains-present and pack voltage / fuel gauge into the ESP32-S3 so the display shows a battery icon, warns on low battery, and logs mains-loss events.</w:t>
      </w:r>
    </w:p>
    <w:p>
      <w:pPr>
        <w:pStyle w:val="CaptionedFigure"/>
      </w:pPr>
      <w:r>
        <w:drawing>
          <wp:inline>
            <wp:extent cx="5303520" cy="635852"/>
            <wp:effectExtent b="0" l="0" r="0" t="0"/>
            <wp:docPr descr="Battery and charge path" title="" id="59" name="Picture"/>
            <a:graphic>
              <a:graphicData uri="http://schemas.openxmlformats.org/drawingml/2006/picture">
                <pic:pic>
                  <pic:nvPicPr>
                    <pic:cNvPr descr="diagrams/d5_bat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635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Battery and charge path</w:t>
      </w:r>
    </w:p>
    <w:bookmarkEnd w:id="61"/>
    <w:bookmarkEnd w:id="62"/>
    <w:bookmarkStart w:id="66" w:name="X2344acaa977fcab73426c550cda53b4af4f03d8"/>
    <w:p>
      <w:pPr>
        <w:pStyle w:val="Heading1"/>
      </w:pPr>
      <w:r>
        <w:t xml:space="preserve">8. Communications (RS-485, RS-232, analog output)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20"/>
        <w:gridCol w:w="396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RS-485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ADM2587E / ADM2582E (isolated), or THVD1450 (non-isolated)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isolated transceiver for industrial robustness; half-duplex multidrop, ideal for the </w:t>
            </w:r>
            <w:r>
              <w:rPr>
                <w:bCs/>
                <w:b/>
              </w:rPr>
              <w:t xml:space="preserve">wired remote-display bus</w:t>
            </w:r>
            <w:r>
              <w:t xml:space="preserve"> and PLC connection. Terminate 120 Ω at both ends.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RS-232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MAX3232 (SMD)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point-to-point to PCs / older PLCs.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Analog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AD5421 (16-bit loop-powered 4–20 mA DAC), + an op-amp stage for 0–10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re-transmitted as an analog signal, scalable from the menu (e.g. 4 mA = 0, 20 mA = capacity). 4–20 mA is preferred for noise immunity over long runs.</w:t>
            </w:r>
          </w:p>
        </w:tc>
      </w:tr>
    </w:tbl>
    <w:p>
      <w:pPr>
        <w:pStyle w:val="BodyText"/>
      </w:pPr>
      <w:r>
        <w:t xml:space="preserve">The </w:t>
      </w:r>
      <w:r>
        <w:rPr>
          <w:bCs/>
          <w:b/>
        </w:rPr>
        <w:t xml:space="preserve">wireless display</w:t>
      </w:r>
      <w:r>
        <w:t xml:space="preserve"> path is Wi-Fi/MQTT, covered in §9.</w:t>
      </w:r>
    </w:p>
    <w:p>
      <w:pPr>
        <w:pStyle w:val="CaptionedFigure"/>
      </w:pPr>
      <w:r>
        <w:drawing>
          <wp:inline>
            <wp:extent cx="5334000" cy="1945150"/>
            <wp:effectExtent b="0" l="0" r="0" t="0"/>
            <wp:docPr descr="Wired communications" title="" id="64" name="Picture"/>
            <a:graphic>
              <a:graphicData uri="http://schemas.openxmlformats.org/drawingml/2006/picture">
                <pic:pic>
                  <pic:nvPicPr>
                    <pic:cNvPr descr="diagrams/d6_comm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5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Wired communications</w:t>
      </w:r>
    </w:p>
    <w:bookmarkEnd w:id="66"/>
    <w:bookmarkStart w:id="74" w:name="display-family"/>
    <w:p>
      <w:pPr>
        <w:pStyle w:val="Heading1"/>
      </w:pPr>
      <w:r>
        <w:t xml:space="preserve">9. Display family</w:t>
      </w:r>
    </w:p>
    <w:bookmarkStart w:id="67" w:name="one-architecture-all-five-variants"/>
    <w:p>
      <w:pPr>
        <w:pStyle w:val="Heading2"/>
      </w:pPr>
      <w:r>
        <w:t xml:space="preserve">9.1 One architecture, all five variants</w:t>
      </w:r>
    </w:p>
    <w:p>
      <w:pPr>
        <w:pStyle w:val="FirstParagraph"/>
      </w:pPr>
      <w:r>
        <w:t xml:space="preserve">All five listed displays reduce to </w:t>
      </w:r>
      <w:r>
        <w:rPr>
          <w:bCs/>
          <w:b/>
        </w:rPr>
        <w:t xml:space="preserve">two transports × two display technologies</w:t>
      </w:r>
      <w:r>
        <w:t xml:space="preserve">: Wi-Fi/MQTT or RS-485, carrying either 7-segment LED or character LCD/OLED.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9"/>
        <w:gridCol w:w="1687"/>
        <w:gridCol w:w="1038"/>
        <w:gridCol w:w="1428"/>
        <w:gridCol w:w="1168"/>
        <w:gridCol w:w="22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 (your spec)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/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Keypad?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we build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1″ 7-seg, red/green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Wireless (Wi-Fi/MQTT) + Wired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(main has keypad)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bicolor LED + driver + ESP32-C3 (Wi-Fi/MQTT) </w:t>
            </w:r>
            <w:r>
              <w:rPr>
                <w:bCs/>
                <w:b/>
              </w:rPr>
              <w:t xml:space="preserve">or</w:t>
            </w:r>
            <w:r>
              <w:t xml:space="preserve"> RS-485 receiver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4″ 7-seg, red/green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Wireless (Wi-Fi/MQTT) + keypad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bicolor LED + constant-current driver + higher rail + ESP32-C3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1.25″ LCD, green-on-black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Wired (extra)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HT1622 + custom negative LCD (or green OLED) + RS-485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2″ LCD, green-on-black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Wired (extra)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#3, larger glass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0.5″ 7-seg, red/green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Wired (extra)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bicolor LED + driver + RS-485</w:t>
            </w:r>
          </w:p>
        </w:tc>
      </w:tr>
    </w:tbl>
    <w:bookmarkEnd w:id="67"/>
    <w:bookmarkStart w:id="68" w:name="driver-recommendations"/>
    <w:p>
      <w:pPr>
        <w:pStyle w:val="Heading2"/>
      </w:pPr>
      <w:r>
        <w:t xml:space="preserve">9.2 Driver recommendations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>7-segment LED (1″, 4″, 0.5″, “red/green”):</w:t>
      </w:r>
      <w:r>
        <w:t xml:space="preserve"> “red/green” = </w:t>
      </w:r>
      <w:r>
        <w:rPr>
          <w:bCs/>
          <w:b/>
        </w:rPr>
        <w:t xml:space="preserve">bicolor (common-anode) digits</w:t>
      </w:r>
      <w:r>
        <w:t xml:space="preserve">; firmware sets colour by state (green = stable/in-range, red = motion/overload/error). Drive with </w:t>
      </w:r>
      <w:r>
        <w:rPr>
          <w:bCs/>
          <w:b/>
        </w:rPr>
        <w:t xml:space="preserve">constant-current LED drivers</w:t>
      </w:r>
      <w:r>
        <w:t xml:space="preserve"> (MAX6954/MAX6958 for the small ones; MBI5024 / TLC5940 current sinks for the big 4″ digits). The </w:t>
      </w:r>
      <w:r>
        <w:rPr>
          <w:bCs/>
          <w:b/>
        </w:rPr>
        <w:t xml:space="preserve">4″ digits stack multiple LED dies per segment → ~9–12 V per segment</w:t>
      </w:r>
      <w:r>
        <w:t xml:space="preserve">, so that display unit carries its own boost/dedicated rail — another reason the big displays are independent powered units, not driven from the indicator.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>LCD “exactly 8 characters, green on black, best option”:</w:t>
      </w:r>
      <w:r>
        <w:t xml:space="preserve"> my recommendation is a </w:t>
      </w:r>
      <w:r>
        <w:rPr>
          <w:bCs/>
          <w:b/>
        </w:rPr>
        <w:t xml:space="preserve">custom 8-digit negative-mode (transflective) segment LCD driven by an HT1622</w:t>
      </w:r>
      <w:r>
        <w:t xml:space="preserve"> (the de-facto scale LCD driver — ultra-low power, sunlight-readable) with a </w:t>
      </w:r>
      <w:r>
        <w:rPr>
          <w:bCs/>
          <w:b/>
        </w:rPr>
        <w:t xml:space="preserve">green LED backlight</w:t>
      </w:r>
      <w:r>
        <w:t xml:space="preserve"> for the black-background/green-digit look. The </w:t>
      </w:r>
      <w:r>
        <w:rPr>
          <w:bCs/>
          <w:b/>
        </w:rPr>
        <w:t xml:space="preserve">alternative</w:t>
      </w:r>
      <w:r>
        <w:t xml:space="preserve"> is a </w:t>
      </w:r>
      <w:r>
        <w:rPr>
          <w:bCs/>
          <w:b/>
        </w:rPr>
        <w:t xml:space="preserve">green character OLED module</w:t>
      </w:r>
      <w:r>
        <w:t xml:space="preserve"> (sharper, wider viewing angle, but higher power and a finite lifetime). I would default to </w:t>
      </w:r>
      <w:r>
        <w:rPr>
          <w:bCs/>
          <w:b/>
        </w:rPr>
        <w:t xml:space="preserve">HT1622 + negative LCD</w:t>
      </w:r>
      <w:r>
        <w:t xml:space="preserve"> for power and longevity, and offer OLED as a premium option.</w:t>
      </w:r>
    </w:p>
    <w:bookmarkEnd w:id="68"/>
    <w:bookmarkStart w:id="72" w:name="Xc3f6a05f0505deacdb9cfd3cee0dc078a390481"/>
    <w:p>
      <w:pPr>
        <w:pStyle w:val="Heading2"/>
      </w:pPr>
      <w:r>
        <w:t xml:space="preserve">9.3 Each remote display is a small slave unit</w:t>
      </w:r>
    </w:p>
    <w:p>
      <w:pPr>
        <w:pStyle w:val="FirstParagraph"/>
      </w:pPr>
      <w:r>
        <w:t xml:space="preserve">Each remote display — wired or wireless — is its own small PCB: a low-cost MCU (an ESP32-C3 for the Wi-Fi/MQTT ones, or just a display driver behind an RS-485 transceiver for the wired ones) plus its </w:t>
      </w:r>
      <w:r>
        <w:rPr>
          <w:bCs/>
          <w:b/>
        </w:rPr>
        <w:t xml:space="preserve">own power</w:t>
      </w:r>
      <w:r>
        <w:t xml:space="preserve"> (a mains adapter for the big LEDs; a small adapter/battery for the LCDs). It receives a weight message and renders it. This is what makes “any number of displays” and the 400 m wireless reach practical, and it keeps the indicator’s own power budget clean.</w:t>
      </w:r>
    </w:p>
    <w:p>
      <w:pPr>
        <w:pStyle w:val="CaptionedFigure"/>
      </w:pPr>
      <w:r>
        <w:drawing>
          <wp:inline>
            <wp:extent cx="5334000" cy="1602473"/>
            <wp:effectExtent b="0" l="0" r="0" t="0"/>
            <wp:docPr descr="Display network" title="" id="70" name="Picture"/>
            <a:graphic>
              <a:graphicData uri="http://schemas.openxmlformats.org/drawingml/2006/picture">
                <pic:pic>
                  <pic:nvPicPr>
                    <pic:cNvPr descr="diagrams/d7_disp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2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Display network</w:t>
      </w:r>
    </w:p>
    <w:bookmarkEnd w:id="72"/>
    <w:bookmarkStart w:id="73" w:name="the-400-m-wireless-link-wi-fi-mqtt"/>
    <w:p>
      <w:pPr>
        <w:pStyle w:val="Heading2"/>
      </w:pPr>
      <w:r>
        <w:t xml:space="preserve">9.4 The 400 m wireless link — Wi-Fi + MQTT</w:t>
      </w:r>
    </w:p>
    <w:p>
      <w:pPr>
        <w:pStyle w:val="FirstParagraph"/>
      </w:pPr>
      <w:r>
        <w:t xml:space="preserve">Per your decision, the wireless displays talk to the scale over </w:t>
      </w:r>
      <w:r>
        <w:rPr>
          <w:bCs/>
          <w:b/>
        </w:rPr>
        <w:t xml:space="preserve">Wi-Fi using MQTT</w:t>
      </w:r>
      <w:r>
        <w:t xml:space="preserve">, not a dedicated radio. The scale’s ESP32-S3 has Wi-Fi on-chip, so there is </w:t>
      </w:r>
      <w:r>
        <w:rPr>
          <w:bCs/>
          <w:b/>
        </w:rPr>
        <w:t xml:space="preserve">no extra radio module</w:t>
      </w:r>
      <w:r>
        <w:t xml:space="preserve"> to add to the BOM.</w:t>
      </w:r>
    </w:p>
    <w:p>
      <w:pPr>
        <w:pStyle w:val="BodyText"/>
      </w:pPr>
      <w:r>
        <w:rPr>
          <w:bCs/>
          <w:b/>
        </w:rPr>
        <w:t xml:space="preserve">Architecture.</w:t>
      </w:r>
      <w:r>
        <w:t xml:space="preserve"> The indicator is an </w:t>
      </w:r>
      <w:r>
        <w:rPr>
          <w:bCs/>
          <w:b/>
        </w:rPr>
        <w:t xml:space="preserve">MQTT publisher</w:t>
      </w:r>
      <w:r>
        <w:t xml:space="preserve">: it pushes the live weight (plus unit, gross/net, stability flag, status) to an </w:t>
      </w:r>
      <w:r>
        <w:rPr>
          <w:bCs/>
          <w:b/>
        </w:rPr>
        <w:t xml:space="preserve">MQTT broker</w:t>
      </w:r>
      <w:r>
        <w:t xml:space="preserve">, and every remote display is a </w:t>
      </w:r>
      <w:r>
        <w:rPr>
          <w:bCs/>
          <w:b/>
        </w:rPr>
        <w:t xml:space="preserve">subscriber</w:t>
      </w:r>
      <w:r>
        <w:t xml:space="preserve"> that renders whatever it receives. The optional mobile app subscribes to the same broker, so the displays and the app share a single transport — one of the real advantages of going this route.</w:t>
      </w:r>
    </w:p>
    <w:p>
      <w:pPr>
        <w:pStyle w:val="BodyText"/>
      </w:pPr>
      <w:r>
        <w:rPr>
          <w:bCs/>
          <w:b/>
        </w:rPr>
        <w:t xml:space="preserve">Broker.</w:t>
      </w:r>
      <w:r>
        <w:t xml:space="preserve"> Two options, and I would let the site dictate which: (a) a lightweight broker such as </w:t>
      </w:r>
      <w:r>
        <w:rPr>
          <w:bCs/>
          <w:b/>
        </w:rPr>
        <w:t xml:space="preserve">Mosquitto on a small local gateway / industrial PC</w:t>
      </w:r>
      <w:r>
        <w:t xml:space="preserve"> — my default, because it is reliable and keeps the scale’s CPU free; or (b) the scale itself acting as a </w:t>
      </w:r>
      <w:r>
        <w:rPr>
          <w:bCs/>
          <w:b/>
        </w:rPr>
        <w:t xml:space="preserve">Wi-Fi access point running an embedded broker</w:t>
      </w:r>
      <w:r>
        <w:t xml:space="preserve">, for a fully self-contained system where there is no site network.</w:t>
      </w:r>
    </w:p>
    <w:p>
      <w:pPr>
        <w:pStyle w:val="BodyText"/>
      </w:pPr>
      <w:r>
        <w:rPr>
          <w:bCs/>
          <w:b/>
        </w:rPr>
        <w:t xml:space="preserve">Topic and payload.</w:t>
      </w:r>
      <w:r>
        <w:t xml:space="preserve"> A topic like </w:t>
      </w:r>
      <w:r>
        <w:rPr>
          <w:rStyle w:val="VerbatimChar"/>
        </w:rPr>
        <w:t xml:space="preserve">scale/&lt;id&gt;/weight</w:t>
      </w:r>
      <w:r>
        <w:t xml:space="preserve"> carrying a compact JSON message (</w:t>
      </w:r>
      <w:r>
        <w:rPr>
          <w:rStyle w:val="VerbatimChar"/>
        </w:rPr>
        <w:t xml:space="preserve">{w, unit, stable, net, ts}</w:t>
      </w:r>
      <w:r>
        <w:t xml:space="preserve">). I will use </w:t>
      </w:r>
      <w:r>
        <w:rPr>
          <w:bCs/>
          <w:b/>
        </w:rPr>
        <w:t xml:space="preserve">QoS 1</w:t>
      </w:r>
      <w:r>
        <w:t xml:space="preserve"> for guaranteed delivery, a </w:t>
      </w:r>
      <w:r>
        <w:rPr>
          <w:bCs/>
          <w:b/>
        </w:rPr>
        <w:t xml:space="preserve">retained message</w:t>
      </w:r>
      <w:r>
        <w:t xml:space="preserve"> so a display that joins late immediately shows the last weight, and an MQTT </w:t>
      </w:r>
      <w:r>
        <w:rPr>
          <w:bCs/>
          <w:b/>
        </w:rPr>
        <w:t xml:space="preserve">last-will</w:t>
      </w:r>
      <w:r>
        <w:t xml:space="preserve"> so a display can show “link lost” if the scale drops off the network.</w:t>
      </w:r>
    </w:p>
    <w:p>
      <w:pPr>
        <w:pStyle w:val="BodyText"/>
      </w:pPr>
      <w:r>
        <w:rPr>
          <w:bCs/>
          <w:b/>
        </w:rPr>
        <w:t>The “with switch” requirement.</w:t>
      </w:r>
      <w:r>
        <w:t xml:space="preserve"> This becomes a </w:t>
      </w:r>
      <w:r>
        <w:rPr>
          <w:bCs/>
          <w:b/>
        </w:rPr>
        <w:t xml:space="preserve">device/topic selector</w:t>
      </w:r>
      <w:r>
        <w:t xml:space="preserve"> on each display — a DIP switch or menu setting that chooses which scale ID / topic the display follows — so several scales and many displays can coexist on one network.</w:t>
      </w:r>
    </w:p>
    <w:p>
      <w:pPr>
        <w:pStyle w:val="BodyText"/>
      </w:pPr>
      <w:r>
        <w:rPr>
          <w:bCs/>
          <w:b/>
        </w:rPr>
        <w:t xml:space="preserve">Update rate.</w:t>
      </w:r>
      <w:r>
        <w:t xml:space="preserve"> Publishing a few times per second over Wi-Fi gives sub-second display updates, which is right for live weighing.</w:t>
      </w:r>
    </w:p>
    <w:p>
      <w:pPr>
        <w:pStyle w:val="BodyText"/>
      </w:pPr>
      <w:r>
        <w:rPr>
          <w:bCs/>
          <w:b/>
        </w:rPr>
        <w:t xml:space="preserve">Range — the one practical caveat.</w:t>
      </w:r>
      <w:r>
        <w:t xml:space="preserve"> A bare module’s Wi-Fi will not span 400 m on its own; that distance is covered by the </w:t>
      </w:r>
      <w:r>
        <w:rPr>
          <w:bCs/>
          <w:b/>
        </w:rPr>
        <w:t xml:space="preserve">site Wi-Fi</w:t>
      </w:r>
      <w:r>
        <w:t xml:space="preserve"> — access-point placement, a repeater/mesh, or a </w:t>
      </w:r>
      <w:r>
        <w:rPr>
          <w:bCs/>
          <w:b/>
        </w:rPr>
        <w:t xml:space="preserve">directional/high-gain antenna</w:t>
      </w:r>
      <w:r>
        <w:t xml:space="preserve"> on the scale’s access point. So 400 m here is a coverage/infrastructure question, not a chip limitation. For a guaranteed long reach we can fit an external high-gain antenna on the scale and/or use an outdoor AP. The trade-off versus a dedicated long-range radio is simply that Wi-Fi needs coverage to be planned; in return you get standard tooling, trivially many displays, and the mobile app on the same link.</w:t>
      </w:r>
    </w:p>
    <w:bookmarkEnd w:id="73"/>
    <w:bookmarkEnd w:id="74"/>
    <w:bookmarkStart w:id="75" w:name="keypad-power-control-and-ui"/>
    <w:p>
      <w:pPr>
        <w:pStyle w:val="Heading1"/>
      </w:pPr>
      <w:r>
        <w:t xml:space="preserve">10. Keypad, power control, and UI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6 function keys + 1 ON/OFF + power LED</w:t>
      </w:r>
      <w:r>
        <w:t xml:space="preserve"> (exact spec). The six keys go to GPIO (direct or 3×2 matrix) with RC + firmware debounce.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ON/OFF is soft latching power</w:t>
      </w:r>
      <w:r>
        <w:t xml:space="preserve">, not a hard switch: the ON/OFF key drives a </w:t>
      </w:r>
      <w:r>
        <w:rPr>
          <w:bCs/>
          <w:b/>
        </w:rPr>
        <w:t xml:space="preserve">load-switch / P-FET + latch</w:t>
      </w:r>
      <w:r>
        <w:t xml:space="preserve"> so the MCU can come up cleanly, perform a graceful shutdown (saving calibration/tare to NVS), and auto-power-off on low battery. This avoids corrupting calibration data on a hard cut.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Power indicator LED</w:t>
      </w:r>
      <w:r>
        <w:t xml:space="preserve"> plus spare status LEDs — the spec’s separate SMPS-indicator, SMPS-to-PCB and “big indicator” LEDs map here.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Menu-driven UI with password protection</w:t>
      </w:r>
      <w:r>
        <w:t xml:space="preserve"> (menu-based access control): a PIN stored in NVS/EEPROM gates the calibration and configuration menus. The final UI layout is frozen at the end of the development phase, as your spec requests.</w:t>
      </w:r>
    </w:p>
    <w:bookmarkEnd w:id="75"/>
    <w:bookmarkStart w:id="76" w:name="firmware-feature-notes"/>
    <w:p>
      <w:pPr>
        <w:pStyle w:val="Heading1"/>
      </w:pPr>
      <w:r>
        <w:t xml:space="preserve">11. Firmware feature notes</w:t>
      </w:r>
    </w:p>
    <w:p>
      <w:pPr>
        <w:numPr>
          <w:ilvl w:val="0"/>
          <w:numId w:val="1009"/>
        </w:numPr>
      </w:pPr>
      <w:r>
        <w:rPr>
          <w:bCs/>
          <w:b/>
        </w:rPr>
        <w:t>Auto-zero / zero-tracking (the “2-second” rule):</w:t>
      </w:r>
      <w:r>
        <w:t xml:space="preserve"> a slow zero-tracking loop. If the reading is within the configurable band (your 30 kg / 50 kg “limit”) </w:t>
      </w:r>
      <w:r>
        <w:rPr>
          <w:bCs/>
          <w:b/>
        </w:rPr>
        <w:t xml:space="preserve">and</w:t>
      </w:r>
      <w:r>
        <w:t xml:space="preserve"> stable for </w:t>
      </w:r>
      <w:r>
        <w:rPr>
          <w:bCs/>
          <w:b/>
        </w:rPr>
        <w:t xml:space="preserve">2 s</w:t>
      </w:r>
      <w:r>
        <w:t xml:space="preserve">, re-zero; if the load exceeds the limit, </w:t>
      </w:r>
      <w:r>
        <w:rPr>
          <w:bCs/>
          <w:b/>
        </w:rPr>
        <w:t xml:space="preserve">freeze</w:t>
      </w:r>
      <w:r>
        <w:t xml:space="preserve"> so a real weight is not zeroed away.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if |reading - zero| &lt; limit AND stable_for(2s):</w:t>
      </w:r>
      <w:r>
        <w:br/>
      </w:r>
      <w:r>
        <w:rPr>
          <w:rStyle w:val="VerbatimChar"/>
        </w:rPr>
        <w:t xml:space="preserve">      zero = reading                 # auto-zero</w:t>
      </w:r>
      <w:r>
        <w:br/>
      </w:r>
      <w:r>
        <w:rPr>
          <w:rStyle w:val="VerbatimChar"/>
        </w:rPr>
        <w:t xml:space="preserve">else if |reading - zero| &gt;= limit:</w:t>
      </w:r>
      <w:r>
        <w:br/>
      </w:r>
      <w:r>
        <w:rPr>
          <w:rStyle w:val="VerbatimChar"/>
        </w:rPr>
        <w:t xml:space="preserve">      hold_display()                 # do NOT track; show stable weight</w:t>
      </w:r>
    </w:p>
    <w:p>
      <w:pPr>
        <w:numPr>
          <w:ilvl w:val="0"/>
          <w:numId w:val="1000"/>
        </w:numPr>
      </w:pPr>
      <w:r>
        <w:t>“Stable” = variation under a few divisions over a sliding window — this is also the motion/no-motion flag that drives the green/red display colour and gates printing/analog hold.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MQTT client over Wi-Fi:</w:t>
      </w:r>
      <w:r>
        <w:t xml:space="preserve"> publishes live weight to the broker for the wireless displays and the mobile app (QoS 1, retained, last-will), with auto-reconnect.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Digital filtering:</w:t>
      </w:r>
      <w:r>
        <w:t xml:space="preserve"> the AD7190’s sinc4 filter does the heavy lifting; firmware adds light moving-average plus the motion detector, balancing settling time against noise.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Calibration data + tare</w:t>
      </w:r>
      <w:r>
        <w:t xml:space="preserve"> stored in NVS with a redundant I²C EEPROM copy and CRC, so a brown-out never loses calibration.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Faulty/disconnected-cell detection</w:t>
      </w:r>
      <w:r>
        <w:t xml:space="preserve"> (your optional requirement): with Option-B per-cell reading this is detected directly; with Option-A we watch for out-of-range bridge voltage / sense-line loss. The calibration menu is </w:t>
      </w:r>
      <w:r>
        <w:rPr>
          <w:bCs/>
          <w:b/>
        </w:rPr>
        <w:t xml:space="preserve">blocked when a cell is faulty or disconnected</w:t>
      </w:r>
      <w:r>
        <w:t xml:space="preserve">, as requested.</w:t>
      </w:r>
    </w:p>
    <w:bookmarkEnd w:id="76"/>
    <w:bookmarkStart w:id="77" w:name="calibration-strategy"/>
    <w:p>
      <w:pPr>
        <w:pStyle w:val="Heading1"/>
      </w:pPr>
      <w:r>
        <w:t xml:space="preserve">12. Calibration strategy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Manual deadweight calibration (the accuracy path):</w:t>
      </w:r>
      <w:r>
        <w:t xml:space="preserve"> zero + one or more certified-weight span points; this is the only way to reach and verify ±0.01%. Add </w:t>
      </w:r>
      <w:r>
        <w:rPr>
          <w:bCs/>
          <w:b/>
        </w:rPr>
        <w:t xml:space="preserve">multi-point linearization</w:t>
      </w:r>
      <w:r>
        <w:t xml:space="preserve"> (e.g. 5 points) to knock down load-cell nonlinearity.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Weightless / auto calibration (the convenience path):</w:t>
      </w:r>
      <w:r>
        <w:t xml:space="preserve"> compute span from rated mV/V + the calibrated ratiometric ADC; documented as approximate (~0.1–0.5%), for setup and tanks only.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Corner / section calibration:</w:t>
      </w:r>
      <w:r>
        <w:t xml:space="preserve"> digital (digipot in Option A, or per-cell coefficient in Option B) — no trimpots.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Temperature handling:</w:t>
      </w:r>
      <w:r>
        <w:t xml:space="preserve"> specify load cells within the −10…+40 °C compensated band; optionally add an on-board temperature sensor and a span-TC correction table for the wider operating range.</w:t>
      </w:r>
    </w:p>
    <w:bookmarkEnd w:id="77"/>
    <w:bookmarkStart w:id="78" w:name="compliance-and-safety-notes-for-india"/>
    <w:p>
      <w:pPr>
        <w:pStyle w:val="Heading1"/>
      </w:pPr>
      <w:r>
        <w:t xml:space="preserve">13. Compliance and safety notes (for India)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Mains side:</w:t>
      </w:r>
      <w:r>
        <w:t xml:space="preserve"> fuse + MOV + X/Y caps + reinforced isolation from the SMPS; proper creepage/clearance on the PCB. The unit runs on India’s </w:t>
      </w:r>
      <w:r>
        <w:rPr>
          <w:bCs/>
          <w:b/>
        </w:rPr>
        <w:t xml:space="preserve">230 V / 50 Hz</w:t>
      </w:r>
      <w:r>
        <w:t xml:space="preserve"> with a universal-input SMPS.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EMC:</w:t>
      </w:r>
      <w:r>
        <w:t xml:space="preserve"> input EMI filter, shielded/guarded analog front-end — needed both for compliance and to hold ±0.01% in a noisy industrial environment.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Radio:</w:t>
      </w:r>
      <w:r>
        <w:t xml:space="preserve"> the 2.4 GHz Wi-Fi band is </w:t>
      </w:r>
      <w:r>
        <w:rPr>
          <w:bCs/>
          <w:b/>
        </w:rPr>
        <w:t xml:space="preserve">licence-exempt (de-licensed) in India</w:t>
      </w:r>
      <w:r>
        <w:t xml:space="preserve">; the ESP32-S3 module should carry </w:t>
      </w:r>
      <w:r>
        <w:rPr>
          <w:bCs/>
          <w:b/>
        </w:rPr>
        <w:t xml:space="preserve">WPC/ETA</w:t>
      </w:r>
      <w:r>
        <w:t xml:space="preserve"> approval for sale and import.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Battery:</w:t>
      </w:r>
      <w:r>
        <w:t xml:space="preserve"> LiFePO4 + a proper BMS, with UN38.3 transport considerations for the finished pack.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Legal-for-trade:</w:t>
      </w:r>
      <w:r>
        <w:t xml:space="preserve"> if the scale must be legal-for-trade in India, that is a separate certification path under the Legal Metrology Act (model approval, sealed calibration, graduated error limits). The spec does not ask for it explicitly — please confirm whether it is in scope, because it changes load-cell selection and the calibration-lock design.</w:t>
      </w:r>
    </w:p>
    <w:bookmarkEnd w:id="78"/>
    <w:bookmarkStart w:id="79" w:name="preliminary-key-component-bom"/>
    <w:p>
      <w:pPr>
        <w:pStyle w:val="Heading1"/>
      </w:pPr>
      <w:r>
        <w:t xml:space="preserve">14. Preliminary key-component BOM</w:t>
      </w:r>
    </w:p>
    <w:p>
      <w:pPr>
        <w:pStyle w:val="FirstParagraph"/>
      </w:pPr>
      <w:r>
        <w:t xml:space="preserve">These are the parts the rest of the design hangs on. Detailed schematics and PCB layout will be delivered as </w:t>
      </w:r>
      <w:r>
        <w:rPr>
          <w:bCs/>
          <w:b/>
        </w:rPr>
        <w:t xml:space="preserve">KiCad</w:t>
      </w:r>
      <w:r>
        <w:t xml:space="preserve"> projects.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77"/>
        <w:gridCol w:w="1926"/>
        <w:gridCol w:w="2568"/>
        <w:gridCol w:w="22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Alternate / cost-down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Driving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MCU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ESP32-S3-WROOM-1-N16R8 (on-chip Wi-Fi → MQTT + 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ESP32-S3-WROOM-1-N8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I/O count + Wi-Fi for MQTT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 ADC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AD7190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AD7192 (pin-compat), ADS1235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10,000-count, ratiometric, low 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Analog LDO (excitation/ref)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ADP7142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TPS7A4700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low-noise ratiometric supply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cells — mini (10/60 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Zemic L6D/L6E or Flintec PC1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to C4 for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single-point, off-centre tolerant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cells — medium/heavy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Flintec RC3 / shear-beam (C3), 700–1000 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 where ±0.01% must be guaranteed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√N + excitation-current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Junction-box 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AD5142A digipot (SMD)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per-cell mux ADG1607 (Option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trimpots, all SMD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Wireless display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ESP32-S3 on-chip Wi-Fi + MQTT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m via site Wi-Fi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 display controller (MQTT subscriber)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ESP32-C3 (Wi-Fi)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wireless display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MQTT 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Mosquitto on a local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broker on scale SoftAP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publish/subscribe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RS-485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ADM2587E (isolated)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THVD1450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multidrop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RS-232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Analog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AD5421 (4–20 mA) + op-amp for 0–10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DAC8551 + XTR111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 signal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LCD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HT1622 + negative LCD + green backlight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character 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8-char green-on-black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7-seg driver (small)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MAX6954/MAX6958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bicolor 6-digit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7-seg driver (4″)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MBI5024 / TLC5940 + boost 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high-current big digits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AC-DC SMPS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Well IRM-20-12 / IRM-30-12 (universal input)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flyback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 VAC → 12 V, certified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LMR33630 (5 V, 3.3 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TPS54331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Ideal-diode 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LM74700-Q1 / LTC4412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lossless mains/battery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CN3768 (LiFePO4) / LTC4015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CC/CV 7.2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BQ77216/BQ769x + balancing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off-the-shelf 2S 10 A LFP PCM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+ balance + gauge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2S LiFePO4 6.4 V, 4.5–6 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V SLA (legacy/cost)</w:t>
            </w:r>
          </w:p>
        </w:tc>
        <w:tc>
          <w:tcPr/>
          <w:p>
            <w:pPr>
              <w:pStyle w:val="Compact"/>
              <w:jc w:val="left"/>
            </w:pPr>
            <w:r>
              <w:t>“6 V” backup, long life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TVS + GDT on cell/comm lines; MOV + fuse on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surge/ESD survival</w:t>
            </w:r>
          </w:p>
        </w:tc>
      </w:tr>
    </w:tbl>
    <w:bookmarkEnd w:id="79"/>
    <w:bookmarkStart w:id="80" w:name="X169fb39b33bfc199f6f0d7533ccb6b7eebc9cce"/>
    <w:p>
      <w:pPr>
        <w:pStyle w:val="Heading1"/>
      </w:pPr>
      <w:r>
        <w:t xml:space="preserve">15. What I need from you to start the detailed design</w:t>
      </w:r>
    </w:p>
    <w:p>
      <w:pPr>
        <w:pStyle w:val="FirstParagraph"/>
      </w:pPr>
      <w:r>
        <w:t xml:space="preserve">In rough priority order: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Confirm the accuracy interpretation:</w:t>
      </w:r>
      <w:r>
        <w:t xml:space="preserve"> is “±0.01%” = </w:t>
      </w:r>
      <w:r>
        <w:rPr>
          <w:bCs/>
          <w:b/>
        </w:rPr>
        <w:t xml:space="preserve">1 part in 10,000 of full scale at reference temperature after deadweight calibration</w:t>
      </w:r>
      <w:r>
        <w:t xml:space="preserve">? If you need it held across the full −10…+40 °C range, we budget for C4/C6 cells and the cell cost rises.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Is legal-for-trade / Legal Metrology model approval in scope?</w:t>
      </w:r>
      <w:r>
        <w:t xml:space="preserve"> This changes load cells, the calibration lock, and adds cost and time.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Worst-case battery configuration:</w:t>
      </w:r>
      <w:r>
        <w:t xml:space="preserve"> which display(s) and how many load cells must keep running </w:t>
      </w:r>
      <w:r>
        <w:rPr>
          <w:iCs/>
          <w:i/>
        </w:rPr>
        <w:t xml:space="preserve">on battery</w:t>
      </w:r>
      <w:r>
        <w:t xml:space="preserve">? This locks the pack capacity (§7.3).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Site Wi-Fi for the wireless displays:</w:t>
      </w:r>
      <w:r>
        <w:t xml:space="preserve"> is there (or will there be) Wi-Fi coverage across the 400 m working area, and do you want the MQTT broker hosted on a site gateway or on the scale’s own access point? This drives the antenna/AP plan.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Junction box: Option A</w:t>
      </w:r>
      <w:r>
        <w:t xml:space="preserve"> (analog + digital trim, cheaper) </w:t>
      </w:r>
      <w:r>
        <w:rPr>
          <w:bCs/>
          <w:b/>
        </w:rPr>
        <w:t xml:space="preserve">or Option B</w:t>
      </w:r>
      <w:r>
        <w:t xml:space="preserve"> (per-cell digitization, best accuracy + cell diagnostics) — or A as standard and B as a premium variant, as I propose.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LCD technology:</w:t>
      </w:r>
      <w:r>
        <w:t xml:space="preserve"> HT1622 + negative LCD (my default) or green OLED?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Quantities and target unit cost</w:t>
      </w:r>
      <w:r>
        <w:t xml:space="preserve"> — this drives the C3-vs-C6, isolated-vs-non-isolated, and module-vs-discrete choices throughout the BOM.</w:t>
      </w:r>
    </w:p>
    <w:bookmarkEnd w:id="80"/>
    <w:bookmarkStart w:id="81" w:name="sources-consulted"/>
    <w:p>
      <w:pPr>
        <w:pStyle w:val="Heading1"/>
      </w:pPr>
      <w:r>
        <w:t xml:space="preserve">16. Sources consulted</w:t>
      </w:r>
    </w:p>
    <w:p>
      <w:pPr>
        <w:pStyle w:val="FirstParagraph"/>
      </w:pPr>
      <w:r>
        <w:t xml:space="preserve">Full datasheets will be archived in the project repository.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Precision ADC:</w:t>
      </w:r>
      <w:r>
        <w:t xml:space="preserve"> Analog Devices AD7190 / AD7192 datasheets and weigh-scale circuit notes (CN-0102 / AN-2506) — noise figures (8.5 nV rms @ 4.7 Hz → 20.5 noise-free bits; ~18.5 bits @ 50 Hz), ratiometric weigh-scale front-end, radiated-immunity guidance.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Load-cell metrology:</w:t>
      </w:r>
      <w:r>
        <w:t xml:space="preserve"> OIML R60 (verification intervals, v_min, the e ≥ v_min·√N rule); Flintec PC1 / RC3 datasheets (2 mV/V, 0.02% combined error, RC3 rated NTEP Class III 1:10,000); Zemic single-point cell catalogue.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MCU:</w:t>
      </w:r>
      <w:r>
        <w:t xml:space="preserve"> Espressif ESP32 family material and 2026 selection guides (S3 = best peripheral/radio balance; P4 has no radio; C6 single-core/fewer pins).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Wireless:</w:t>
      </w:r>
      <w:r>
        <w:t xml:space="preserve"> ESP32-S3 on-chip Wi-Fi with MQTT (e.g. a Mosquitto broker; MQTT QoS, retained messages and last-will).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Battery / BMS:</w:t>
      </w:r>
      <w:r>
        <w:t xml:space="preserve"> 2S LiFePO4 (6.4 V) products marketed as 6 V SLA drop-ins (~2,500-cycle life, integral BMS); 2S LFP BMS/PCM specs (OVP 3.65 V/cell, UVP ~2.0 V/cell, 7.2 V charge, passive balancing).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Calibration:</w:t>
      </w:r>
      <w:r>
        <w:t xml:space="preserve"> Mettler-Toledo / Rice Lake CalFREE documentation — weightless calibration is electronic-only and explicitly less accurate than test weights / approximate only.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is the analysis the build decisions will sit on; none of it is locked. Tell me which sections you would like expanded next — for example a full schematic-level front-end, a per-platform load-cell selection table for all eight platforms, or a detailed firmware state machine — and I will take it deeper.</w:t>
      </w:r>
    </w:p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76" w:lineRule="auto"/>
    </w:pPr>
    <w:rPr>
      <w:rFonts w:ascii="Arial" w:cs="Arial" w:hAnsi="Arial"/>
      <w:sz w:val="21"/>
      <w:szCs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0F3A52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0F3A52" w:space="2" w:sz="18" w:val="single"/>
      </w:pBdr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F3A52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F3A52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1D5C7A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0F3A52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0F3A52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0F3A52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0F3A52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F3A52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0F3A52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C7D3DB" w:space="0" w:sz="4" w:val="single"/>
        <w:left w:color="C7D3DB" w:space="0" w:sz="4" w:val="single"/>
        <w:bottom w:color="C7D3DB" w:space="0" w:sz="4" w:val="single"/>
        <w:right w:color="C7D3DB" w:space="0" w:sz="4" w:val="single"/>
        <w:insideH w:color="C7D3DB" w:space="0" w:sz="4" w:val="single"/>
        <w:insideV w:color="C7D3DB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  <w:color w:val="FFFFFF"/>
      </w:rPr>
      <w:tcPr>
        <w:shd w:color="auto" w:fill="0F3A52" w:val="clear"/>
        <w:vAlign w:val="center"/>
      </w:tcPr>
    </w:tblStylePr>
    <w:tblStylePr w:type="band1Horz">
      <w:tcPr>
        <w:shd w:color="auto" w:fill="F2F6F8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F3A5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20" Target="media/rId20.png"/><Relationship Type="http://schemas.openxmlformats.org/officeDocument/2006/relationships/image" Id="rId32" Target="media/rId32.png"/><Relationship Type="http://schemas.openxmlformats.org/officeDocument/2006/relationships/image" Id="rId42" Target="media/rId42.png"/><Relationship Type="http://schemas.openxmlformats.org/officeDocument/2006/relationships/image" Id="rId48" Target="media/rId48.png"/><Relationship Type="http://schemas.openxmlformats.org/officeDocument/2006/relationships/image" Id="rId58" Target="media/rId58.png"/><Relationship Type="http://schemas.openxmlformats.org/officeDocument/2006/relationships/image" Id="rId63" Target="media/rId63.png"/><Relationship Type="http://schemas.openxmlformats.org/officeDocument/2006/relationships/image" Id="rId69" Target="media/rId69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Weight Scale System — Phase 1 Engineering Research &amp; Component Selection</dc:title>
  <dc:creator/>
  <cp:keywords/>
  <dcterms:created xsi:type="dcterms:W3CDTF">2026-06-15T09:25:04Z</dcterms:created>
  <dcterms:modified xsi:type="dcterms:W3CDTF">2026-06-15T09:25:04Z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Prepared June 2026 · Draft for your review</vt:lpwstr>
  </property>
</Properties>
</file>