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left="720"/>
        <w:bidi/>
      </w:pPr>
      <w:r>
        <w:rPr>
          <w:b/>
          <w:sz w:val="44"/>
        </w:rPr>
        <w:t>00 — خارطة الطريق</w:t>
      </w:r>
      <w:r/>
    </w:p>
    <w:p>
      <w:pPr>
        <w:ind w:left="720"/>
        <w:bidi/>
      </w:pPr>
      <w:r>
        <w:rPr>
          <w:b/>
          <w:sz w:val="26"/>
        </w:rPr>
        <w:t>البورتفوليو الشخصي (EN / AR / TR)</w:t>
      </w:r>
      <w:r/>
    </w:p>
    <w:p>
      <w:pPr>
        <w:pStyle w:val="para3"/>
        <w:ind w:left="720"/>
        <w:bidi/>
      </w:pPr>
      <w:r>
        <w:rPr>
          <w:b w:val="0"/>
        </w:rPr>
        <w:t>المبدأ الحاكم</w:t>
      </w:r>
      <w:r/>
    </w:p>
    <w:p>
      <w:pPr>
        <w:ind w:left="720"/>
        <w:bidi/>
      </w:pPr>
      <w:r>
        <w:rPr>
          <w:b/>
        </w:rPr>
        <w:t>SEO قيد معماري، وليس مرحلة مستقلة.</w:t>
      </w:r>
      <w:r/>
    </w:p>
    <w:p>
      <w:pPr>
        <w:ind w:left="720"/>
        <w:bidi/>
      </w:pPr>
      <w:r>
        <w:t>كل جانب متعلق بـ SEO يدخل أولًا كمتطلب في وثيقة SRS، ثم يتحول إلى قرار معماري في وثيقة Information Architecture (IA)، ثم يُفرض كجزء من Definition of Done الذي يحدد إمكانية إغلاق كل Sprint. لا يوجد «Sprint للـSEO».</w:t>
      </w:r>
    </w:p>
    <w:p>
      <w:pPr>
        <w:pStyle w:val="para3"/>
        <w:ind w:left="720"/>
        <w:bidi/>
      </w:pPr>
      <w:r>
        <w:rPr>
          <w:b w:val="0"/>
        </w:rPr>
        <w:t>النطاق</w:t>
      </w:r>
      <w:r/>
    </w:p>
    <w:p>
      <w:pPr>
        <w:ind w:left="720"/>
        <w:bidi/>
      </w:pPr>
      <w:r>
        <w:t>أربع صفحات: Home وAbout وProjects وContact، بثلاث لغات، أي 12 مسارًا. لا توجد مدونة ولا CMS، ولا تُضاف ميزات خارج هذه القائمة دون تغيير صريح في نطاق المشروع.</w:t>
      </w:r>
    </w:p>
    <w:p>
      <w:pPr>
        <w:pStyle w:val="para3"/>
        <w:ind w:left="720"/>
        <w:bidi/>
      </w:pPr>
      <w:r>
        <w:rPr>
          <w:b w:val="0"/>
        </w:rPr>
        <w:t>التقنيات</w:t>
      </w:r>
      <w:r/>
    </w:p>
    <w:p>
      <w:pPr>
        <w:ind w:left="720"/>
        <w:bidi/>
      </w:pPr>
      <w:r>
        <w:t>Next.js (App Router) · TypeScript (strict) · next-intl · Vercel + custom domain</w:t>
      </w:r>
    </w:p>
    <w:p>
      <w:pPr>
        <w:pStyle w:val="para3"/>
        <w:ind w:left="720"/>
        <w:bidi/>
      </w:pPr>
      <w:r>
        <w:rPr>
          <w:b w:val="0"/>
        </w:rPr>
        <w:t>الوثائق</w:t>
      </w:r>
      <w:r/>
    </w:p>
    <w:tbl>
      <w:tblPr>
        <w:tblStyle w:val="TableGrid"/>
        <w:name w:val="Table1"/>
        <w:tabOrder w:val="0"/>
        <w:jc w:val="left"/>
        <w:tblInd w:w="720" w:type="dxa"/>
        <w:tblW w:w="10424" w:type="dxa"/>
        <w:pPr>
          <w:ind w:left="720"/>
        </w:pPr>
        <w:tblLook w:val="04A0" w:firstRow="1" w:lastRow="0" w:firstColumn="1" w:lastColumn="0" w:noHBand="0" w:noVBand="1"/>
      </w:tblPr>
      <w:tblGrid>
        <w:gridCol w:w="2606"/>
        <w:gridCol w:w="2606"/>
        <w:gridCol w:w="2606"/>
        <w:gridCol w:w="2606"/>
      </w:tblGrid>
      <w:tr>
        <w:trPr>
          <w:tblHeader w:val="0"/>
          <w:cantSplit w:val="0"/>
          <w:trHeight w:val="0" w:hRule="auto"/>
        </w:trPr>
        <w:tc>
          <w:tcPr>
            <w:tcW w:w="2606" w:type="dxa"/>
            <w:vAlign w:val="center"/>
            <w:shd w:val="solid" w:color="1F3756" tmshd="1677721856, 0, 5650207"/>
            <w:tmTcPr id="1790000655" protected="0"/>
          </w:tcPr>
          <w:p>
            <w:pPr>
              <w:spacing/>
              <w:jc w:val="right"/>
              <w:bidi/>
            </w:pPr>
            <w:r>
              <w:rPr>
                <w:b/>
                <w:color w:val="ffffff"/>
                <w:sz w:val="17"/>
              </w:rPr>
              <w:t>#</w:t>
            </w:r>
            <w:r/>
          </w:p>
        </w:tc>
        <w:tc>
          <w:tcPr>
            <w:tcW w:w="2606" w:type="dxa"/>
            <w:vAlign w:val="center"/>
            <w:shd w:val="solid" w:color="1F3756" tmshd="1677721856, 0, 5650207"/>
            <w:tmTcPr id="1790000655" protected="0"/>
          </w:tcPr>
          <w:p>
            <w:pPr>
              <w:spacing/>
              <w:jc w:val="right"/>
              <w:bidi/>
            </w:pPr>
            <w:r>
              <w:rPr>
                <w:b/>
                <w:color w:val="ffffff"/>
                <w:sz w:val="17"/>
              </w:rPr>
              <w:t>الوثيقة</w:t>
            </w:r>
            <w:r/>
          </w:p>
        </w:tc>
        <w:tc>
          <w:tcPr>
            <w:tcW w:w="2606" w:type="dxa"/>
            <w:vAlign w:val="center"/>
            <w:shd w:val="solid" w:color="1F3756" tmshd="1677721856, 0, 5650207"/>
            <w:tmTcPr id="1790000655" protected="0"/>
          </w:tcPr>
          <w:p>
            <w:pPr>
              <w:spacing/>
              <w:jc w:val="right"/>
              <w:bidi/>
            </w:pPr>
            <w:r>
              <w:rPr>
                <w:b/>
                <w:color w:val="ffffff"/>
                <w:sz w:val="17"/>
              </w:rPr>
              <w:t>الملف</w:t>
            </w:r>
            <w:r/>
          </w:p>
        </w:tc>
        <w:tc>
          <w:tcPr>
            <w:tcW w:w="2606" w:type="dxa"/>
            <w:vAlign w:val="center"/>
            <w:shd w:val="solid" w:color="1F3756" tmshd="1677721856, 0, 5650207"/>
            <w:tmTcPr id="1790000655" protected="0"/>
          </w:tcPr>
          <w:p>
            <w:pPr>
              <w:spacing/>
              <w:jc w:val="right"/>
              <w:bidi/>
            </w:pPr>
            <w:r>
              <w:rPr>
                <w:b/>
                <w:color w:val="ffffff"/>
                <w:sz w:val="17"/>
              </w:rPr>
              <w:t>الحالة</w:t>
            </w:r>
            <w:r/>
          </w:p>
        </w:tc>
      </w:tr>
      <w:tr>
        <w:trPr>
          <w:tblHeader w:val="0"/>
          <w:cantSplit w:val="0"/>
          <w:trHeight w:val="0" w:hRule="auto"/>
        </w:trPr>
        <w:tc>
          <w:tcPr>
            <w:tcW w:w="2606" w:type="dxa"/>
            <w:vAlign w:val="center"/>
            <w:tmTcPr id="1790000655" protected="0"/>
          </w:tcPr>
          <w:p>
            <w:pPr>
              <w:spacing/>
              <w:jc w:val="right"/>
              <w:bidi/>
            </w:pPr>
            <w:r>
              <w:rPr>
                <w:sz w:val="17"/>
              </w:rPr>
              <w:t>1</w:t>
            </w:r>
            <w:r/>
          </w:p>
        </w:tc>
        <w:tc>
          <w:tcPr>
            <w:tcW w:w="2606" w:type="dxa"/>
            <w:vAlign w:val="center"/>
            <w:tmTcPr id="1790000655" protected="0"/>
          </w:tcPr>
          <w:p>
            <w:pPr>
              <w:spacing/>
              <w:jc w:val="right"/>
              <w:bidi/>
            </w:pPr>
            <w:r>
              <w:rPr>
                <w:sz w:val="17"/>
              </w:rPr>
              <w:t>مقترح المشروع</w:t>
            </w:r>
            <w:r/>
          </w:p>
        </w:tc>
        <w:tc>
          <w:tcPr>
            <w:tcW w:w="2606" w:type="dxa"/>
            <w:vAlign w:val="center"/>
            <w:tmTcPr id="1790000655" protected="0"/>
          </w:tcPr>
          <w:p>
            <w:pPr>
              <w:spacing/>
              <w:jc w:val="right"/>
              <w:bidi/>
            </w:pPr>
            <w:r>
              <w:rPr>
                <w:sz w:val="17"/>
              </w:rPr>
              <w:t>01-project-proposal.md</w:t>
            </w:r>
            <w:r/>
          </w:p>
        </w:tc>
        <w:tc>
          <w:tcPr>
            <w:tcW w:w="2606" w:type="dxa"/>
            <w:vAlign w:val="center"/>
            <w:tmTcPr id="1790000655" protected="0"/>
          </w:tcPr>
          <w:p>
            <w:pPr>
              <w:spacing/>
              <w:jc w:val="right"/>
              <w:bidi/>
            </w:pPr>
            <w:r>
              <w:rPr>
                <w:sz w:val="17"/>
              </w:rPr>
              <w:t>مسودة v2</w:t>
            </w:r>
            <w:r/>
          </w:p>
        </w:tc>
      </w:tr>
      <w:tr>
        <w:trPr>
          <w:tblHeader w:val="0"/>
          <w:cantSplit w:val="0"/>
          <w:trHeight w:val="0" w:hRule="auto"/>
        </w:trPr>
        <w:tc>
          <w:tcPr>
            <w:tcW w:w="2606" w:type="dxa"/>
            <w:vAlign w:val="center"/>
            <w:tmTcPr id="1790000655" protected="0"/>
          </w:tcPr>
          <w:p>
            <w:pPr>
              <w:spacing/>
              <w:jc w:val="right"/>
              <w:bidi/>
            </w:pPr>
            <w:r>
              <w:rPr>
                <w:sz w:val="17"/>
              </w:rPr>
              <w:t>2</w:t>
            </w:r>
            <w:r/>
          </w:p>
        </w:tc>
        <w:tc>
          <w:tcPr>
            <w:tcW w:w="2606" w:type="dxa"/>
            <w:vAlign w:val="center"/>
            <w:tmTcPr id="1790000655" protected="0"/>
          </w:tcPr>
          <w:p>
            <w:pPr>
              <w:spacing/>
              <w:jc w:val="right"/>
              <w:bidi/>
            </w:pPr>
            <w:r>
              <w:rPr>
                <w:sz w:val="17"/>
              </w:rPr>
              <w:t>خطة المحتوى والكلمات المفتاحية</w:t>
            </w:r>
            <w:r/>
          </w:p>
        </w:tc>
        <w:tc>
          <w:tcPr>
            <w:tcW w:w="2606" w:type="dxa"/>
            <w:vAlign w:val="center"/>
            <w:tmTcPr id="1790000655" protected="0"/>
          </w:tcPr>
          <w:p>
            <w:pPr>
              <w:spacing/>
              <w:jc w:val="right"/>
              <w:bidi/>
            </w:pPr>
            <w:r>
              <w:rPr>
                <w:sz w:val="17"/>
              </w:rPr>
              <w:t>02-keyword-plan.md</w:t>
            </w:r>
            <w:r/>
          </w:p>
        </w:tc>
        <w:tc>
          <w:tcPr>
            <w:tcW w:w="2606" w:type="dxa"/>
            <w:vAlign w:val="center"/>
            <w:tmTcPr id="1790000655" protected="0"/>
          </w:tcPr>
          <w:p>
            <w:pPr>
              <w:spacing/>
              <w:jc w:val="right"/>
              <w:bidi/>
            </w:pPr>
            <w:r>
              <w:rPr>
                <w:sz w:val="17"/>
              </w:rPr>
              <w:t>مسودة v2</w:t>
            </w:r>
            <w:r/>
          </w:p>
        </w:tc>
      </w:tr>
      <w:tr>
        <w:trPr>
          <w:tblHeader w:val="0"/>
          <w:cantSplit w:val="0"/>
          <w:trHeight w:val="0" w:hRule="auto"/>
        </w:trPr>
        <w:tc>
          <w:tcPr>
            <w:tcW w:w="2606" w:type="dxa"/>
            <w:vAlign w:val="center"/>
            <w:tmTcPr id="1790000655" protected="0"/>
          </w:tcPr>
          <w:p>
            <w:pPr>
              <w:spacing/>
              <w:jc w:val="right"/>
              <w:bidi/>
            </w:pPr>
            <w:r>
              <w:rPr>
                <w:sz w:val="17"/>
              </w:rPr>
              <w:t>3</w:t>
            </w:r>
            <w:r/>
          </w:p>
        </w:tc>
        <w:tc>
          <w:tcPr>
            <w:tcW w:w="2606" w:type="dxa"/>
            <w:vAlign w:val="center"/>
            <w:tmTcPr id="1790000655" protected="0"/>
          </w:tcPr>
          <w:p>
            <w:pPr>
              <w:spacing/>
              <w:jc w:val="right"/>
              <w:bidi/>
            </w:pPr>
            <w:r>
              <w:rPr>
                <w:sz w:val="17"/>
              </w:rPr>
              <w:t>قائمة الميزات</w:t>
            </w:r>
            <w:r/>
          </w:p>
        </w:tc>
        <w:tc>
          <w:tcPr>
            <w:tcW w:w="2606" w:type="dxa"/>
            <w:vAlign w:val="center"/>
            <w:tmTcPr id="1790000655" protected="0"/>
          </w:tcPr>
          <w:p>
            <w:pPr>
              <w:spacing/>
              <w:jc w:val="right"/>
              <w:bidi/>
            </w:pPr>
            <w:r>
              <w:rPr>
                <w:sz w:val="17"/>
              </w:rPr>
              <w:t>03-feature-list.md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4</w:t>
            </w:r>
            <w:r/>
          </w:p>
        </w:tc>
        <w:tc>
          <w:tcPr>
            <w:tcW w:w="2606" w:type="dxa"/>
            <w:vAlign w:val="center"/>
            <w:tmTcPr id="1790000655" protected="0"/>
          </w:tcPr>
          <w:p>
            <w:pPr>
              <w:spacing/>
              <w:jc w:val="right"/>
              <w:bidi/>
            </w:pPr>
            <w:r>
              <w:rPr>
                <w:sz w:val="17"/>
              </w:rPr>
              <w:t>وثيقة SRS</w:t>
            </w:r>
            <w:r/>
          </w:p>
        </w:tc>
        <w:tc>
          <w:tcPr>
            <w:tcW w:w="2606" w:type="dxa"/>
            <w:vAlign w:val="center"/>
            <w:tmTcPr id="1790000655" protected="0"/>
          </w:tcPr>
          <w:p>
            <w:pPr>
              <w:spacing/>
              <w:jc w:val="right"/>
              <w:bidi/>
            </w:pPr>
            <w:r>
              <w:rPr>
                <w:sz w:val="17"/>
              </w:rPr>
              <w:t>04-srs.md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5</w:t>
            </w:r>
            <w:r/>
          </w:p>
        </w:tc>
        <w:tc>
          <w:tcPr>
            <w:tcW w:w="2606" w:type="dxa"/>
            <w:vAlign w:val="center"/>
            <w:tmTcPr id="1790000655" protected="0"/>
          </w:tcPr>
          <w:p>
            <w:pPr>
              <w:spacing/>
              <w:jc w:val="right"/>
              <w:bidi/>
            </w:pPr>
            <w:r>
              <w:rPr>
                <w:sz w:val="17"/>
              </w:rPr>
              <w:t>معمارية المعلومات وخريطة URLs</w:t>
            </w:r>
            <w:r/>
          </w:p>
        </w:tc>
        <w:tc>
          <w:tcPr>
            <w:tcW w:w="2606" w:type="dxa"/>
            <w:vAlign w:val="center"/>
            <w:tmTcPr id="1790000655" protected="0"/>
          </w:tcPr>
          <w:p>
            <w:pPr>
              <w:spacing/>
              <w:jc w:val="right"/>
              <w:bidi/>
            </w:pPr>
            <w:r>
              <w:rPr>
                <w:sz w:val="17"/>
              </w:rPr>
              <w:t>05-ia-url-map.md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6</w:t>
            </w:r>
            <w:r/>
          </w:p>
        </w:tc>
        <w:tc>
          <w:tcPr>
            <w:tcW w:w="2606" w:type="dxa"/>
            <w:vAlign w:val="center"/>
            <w:tmTcPr id="1790000655" protected="0"/>
          </w:tcPr>
          <w:p>
            <w:pPr>
              <w:spacing/>
              <w:jc w:val="right"/>
              <w:bidi/>
            </w:pPr>
            <w:r>
              <w:rPr>
                <w:sz w:val="17"/>
              </w:rPr>
              <w:t>Mockups</w:t>
            </w:r>
            <w:r/>
          </w:p>
        </w:tc>
        <w:tc>
          <w:tcPr>
            <w:tcW w:w="2606" w:type="dxa"/>
            <w:vAlign w:val="center"/>
            <w:tmTcPr id="1790000655" protected="0"/>
          </w:tcPr>
          <w:p>
            <w:pPr>
              <w:spacing/>
              <w:jc w:val="right"/>
              <w:bidi/>
            </w:pPr>
            <w:r>
              <w:rPr>
                <w:sz w:val="17"/>
              </w:rPr>
              <w:t>06-mockups.md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7</w:t>
            </w:r>
            <w:r/>
          </w:p>
        </w:tc>
        <w:tc>
          <w:tcPr>
            <w:tcW w:w="2606" w:type="dxa"/>
            <w:vAlign w:val="center"/>
            <w:tmTcPr id="1790000655" protected="0"/>
          </w:tcPr>
          <w:p>
            <w:pPr>
              <w:spacing/>
              <w:jc w:val="right"/>
              <w:bidi/>
            </w:pPr>
            <w:r>
              <w:rPr>
                <w:sz w:val="17"/>
              </w:rPr>
              <w:t>معايير المستودع</w:t>
            </w:r>
            <w:r/>
          </w:p>
        </w:tc>
        <w:tc>
          <w:tcPr>
            <w:tcW w:w="2606" w:type="dxa"/>
            <w:vAlign w:val="center"/>
            <w:tmTcPr id="1790000655" protected="0"/>
          </w:tcPr>
          <w:p>
            <w:pPr>
              <w:spacing/>
              <w:jc w:val="right"/>
              <w:bidi/>
            </w:pPr>
            <w:r>
              <w:rPr>
                <w:sz w:val="17"/>
              </w:rPr>
              <w:t>07-repo-standards.md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8</w:t>
            </w:r>
            <w:r/>
          </w:p>
        </w:tc>
        <w:tc>
          <w:tcPr>
            <w:tcW w:w="2606" w:type="dxa"/>
            <w:vAlign w:val="center"/>
            <w:tmTcPr id="1790000655" protected="0"/>
          </w:tcPr>
          <w:p>
            <w:pPr>
              <w:spacing/>
              <w:jc w:val="right"/>
              <w:bidi/>
            </w:pPr>
            <w:r>
              <w:rPr>
                <w:sz w:val="17"/>
              </w:rPr>
              <w:t>خطط الـSprints</w:t>
            </w:r>
            <w:r/>
          </w:p>
        </w:tc>
        <w:tc>
          <w:tcPr>
            <w:tcW w:w="2606" w:type="dxa"/>
            <w:vAlign w:val="center"/>
            <w:tmTcPr id="1790000655" protected="0"/>
          </w:tcPr>
          <w:p>
            <w:pPr>
              <w:spacing/>
              <w:jc w:val="right"/>
              <w:bidi/>
            </w:pPr>
            <w:r>
              <w:rPr>
                <w:sz w:val="17"/>
              </w:rPr>
              <w:t>08-sprint-plans.md</w:t>
            </w:r>
            <w:r/>
          </w:p>
        </w:tc>
        <w:tc>
          <w:tcPr>
            <w:tcW w:w="2606" w:type="dxa"/>
            <w:vAlign w:val="center"/>
            <w:tmTcPr id="1790000655" protected="0"/>
          </w:tcPr>
          <w:p>
            <w:pPr>
              <w:spacing/>
              <w:jc w:val="right"/>
              <w:bidi/>
            </w:pPr>
            <w:r>
              <w:rPr>
                <w:sz w:val="17"/>
              </w:rPr>
              <w:t>مسودة</w:t>
            </w:r>
            <w:r/>
          </w:p>
        </w:tc>
      </w:tr>
      <w:tr>
        <w:trPr>
          <w:tblHeader w:val="0"/>
          <w:cantSplit w:val="0"/>
          <w:trHeight w:val="0" w:hRule="auto"/>
        </w:trPr>
        <w:tc>
          <w:tcPr>
            <w:tcW w:w="2606" w:type="dxa"/>
            <w:vAlign w:val="center"/>
            <w:tmTcPr id="1790000655" protected="0"/>
          </w:tcPr>
          <w:p>
            <w:pPr>
              <w:spacing/>
              <w:jc w:val="right"/>
              <w:bidi/>
            </w:pPr>
            <w:r>
              <w:rPr>
                <w:sz w:val="17"/>
              </w:rPr>
              <w:t>9</w:t>
            </w:r>
            <w:r/>
          </w:p>
        </w:tc>
        <w:tc>
          <w:tcPr>
            <w:tcW w:w="2606" w:type="dxa"/>
            <w:vAlign w:val="center"/>
            <w:tmTcPr id="1790000655" protected="0"/>
          </w:tcPr>
          <w:p>
            <w:pPr>
              <w:spacing/>
              <w:jc w:val="right"/>
              <w:bidi/>
            </w:pPr>
            <w:r>
              <w:rPr>
                <w:sz w:val="17"/>
              </w:rPr>
              <w:t>خطة CI/CD</w:t>
            </w:r>
            <w:r/>
          </w:p>
        </w:tc>
        <w:tc>
          <w:tcPr>
            <w:tcW w:w="2606" w:type="dxa"/>
            <w:vAlign w:val="center"/>
            <w:tmTcPr id="1790000655" protected="0"/>
          </w:tcPr>
          <w:p>
            <w:pPr>
              <w:spacing/>
              <w:jc w:val="right"/>
              <w:bidi/>
            </w:pPr>
            <w:r>
              <w:rPr>
                <w:sz w:val="17"/>
              </w:rPr>
              <w:t>09-cicd.md</w:t>
            </w:r>
            <w:r/>
          </w:p>
        </w:tc>
        <w:tc>
          <w:tcPr>
            <w:tcW w:w="2606" w:type="dxa"/>
            <w:vAlign w:val="center"/>
            <w:tmTcPr id="1790000655" protected="0"/>
          </w:tcPr>
          <w:p>
            <w:pPr>
              <w:spacing/>
              <w:jc w:val="right"/>
              <w:bidi/>
            </w:pPr>
            <w:r>
              <w:rPr>
                <w:sz w:val="17"/>
              </w:rPr>
              <w:t>مسودة</w:t>
            </w:r>
            <w:r/>
          </w:p>
        </w:tc>
      </w:tr>
    </w:tbl>
    <w:p>
      <w:pPr>
        <w:ind w:left="720"/>
      </w:pPr>
      <w:r/>
    </w:p>
    <w:p>
      <w:pPr>
        <w:ind w:left="720"/>
        <w:bidi/>
      </w:pPr>
      <w:r>
        <w:t>تم استبعاد Gantt Chart عمدًا، واستُبدل بالوثيقة 05 وخطط الـSprints.</w:t>
      </w:r>
    </w:p>
    <w:p>
      <w:pPr>
        <w:pStyle w:val="para3"/>
        <w:ind w:left="720"/>
        <w:bidi/>
      </w:pPr>
      <w:r>
        <w:rPr>
          <w:b w:val="0"/>
        </w:rPr>
        <w:t>السبرنتات</w:t>
      </w:r>
      <w:r/>
    </w:p>
    <w:p>
      <w:pPr>
        <w:ind w:left="720"/>
        <w:bidi/>
      </w:pPr>
      <w:r>
        <w:t>ثلاثة Sprints، مدة كل واحد أسبوعان. لا يُغلق أي Sprint حتى يجتاز بوابة SEO الخاصة به.</w:t>
      </w:r>
    </w:p>
    <w:tbl>
      <w:tblPr>
        <w:tblStyle w:val="TableGrid"/>
        <w:name w:val="Table2"/>
        <w:tabOrder w:val="0"/>
        <w:jc w:val="left"/>
        <w:tblInd w:w="720" w:type="dxa"/>
        <w:tblW w:w="10425" w:type="dxa"/>
        <w:pPr>
          <w:ind w:left="720"/>
        </w:pPr>
        <w:tblLook w:val="04A0" w:firstRow="1" w:lastRow="0" w:firstColumn="1" w:lastColumn="0" w:noHBand="0" w:noVBand="1"/>
      </w:tblPr>
      <w:tblGrid>
        <w:gridCol w:w="3475"/>
        <w:gridCol w:w="3475"/>
        <w:gridCol w:w="3475"/>
      </w:tblGrid>
      <w:tr>
        <w:trPr>
          <w:tblHeader w:val="0"/>
          <w:cantSplit w:val="0"/>
          <w:trHeight w:val="0" w:hRule="auto"/>
        </w:trPr>
        <w:tc>
          <w:tcPr>
            <w:tcW w:w="3475" w:type="dxa"/>
            <w:vAlign w:val="center"/>
            <w:shd w:val="solid" w:color="1F3756" tmshd="1677721856, 0, 5650207"/>
            <w:tmTcPr id="1790000655" protected="0"/>
          </w:tcPr>
          <w:p>
            <w:pPr>
              <w:spacing/>
              <w:jc w:val="right"/>
              <w:bidi/>
            </w:pPr>
            <w:r>
              <w:rPr>
                <w:b/>
                <w:color w:val="ffffff"/>
                <w:sz w:val="17"/>
              </w:rPr>
              <w:t>Sprint</w:t>
            </w:r>
            <w:r/>
          </w:p>
        </w:tc>
        <w:tc>
          <w:tcPr>
            <w:tcW w:w="3475" w:type="dxa"/>
            <w:vAlign w:val="center"/>
            <w:shd w:val="solid" w:color="1F3756" tmshd="1677721856, 0, 5650207"/>
            <w:tmTcPr id="1790000655" protected="0"/>
          </w:tcPr>
          <w:p>
            <w:pPr>
              <w:spacing/>
              <w:jc w:val="right"/>
              <w:bidi/>
            </w:pPr>
            <w:r>
              <w:rPr>
                <w:b/>
                <w:color w:val="ffffff"/>
                <w:sz w:val="17"/>
              </w:rPr>
              <w:t>المخرجات</w:t>
            </w:r>
            <w:r/>
          </w:p>
        </w:tc>
        <w:tc>
          <w:tcPr>
            <w:tcW w:w="3475" w:type="dxa"/>
            <w:vAlign w:val="center"/>
            <w:shd w:val="solid" w:color="1F3756" tmshd="1677721856, 0, 5650207"/>
            <w:tmTcPr id="1790000655" protected="0"/>
          </w:tcPr>
          <w:p>
            <w:pPr>
              <w:spacing/>
              <w:jc w:val="right"/>
              <w:bidi/>
            </w:pPr>
            <w:r>
              <w:rPr>
                <w:b/>
                <w:color w:val="ffffff"/>
                <w:sz w:val="17"/>
              </w:rPr>
              <w:t>بوابة SEO / Definition of Done</w:t>
            </w:r>
            <w:r/>
          </w:p>
        </w:tc>
      </w:tr>
      <w:tr>
        <w:trPr>
          <w:tblHeader w:val="0"/>
          <w:cantSplit w:val="0"/>
          <w:trHeight w:val="0" w:hRule="auto"/>
        </w:trPr>
        <w:tc>
          <w:tcPr>
            <w:tcW w:w="3475" w:type="dxa"/>
            <w:vAlign w:val="center"/>
            <w:tmTcPr id="1790000655" protected="0"/>
          </w:tcPr>
          <w:p>
            <w:pPr>
              <w:spacing/>
              <w:jc w:val="right"/>
              <w:bidi/>
            </w:pPr>
            <w:r>
              <w:rPr>
                <w:sz w:val="17"/>
              </w:rPr>
              <w:t>S1 — الأساس</w:t>
            </w:r>
            <w:r/>
          </w:p>
        </w:tc>
        <w:tc>
          <w:tcPr>
            <w:tcW w:w="3475" w:type="dxa"/>
            <w:vAlign w:val="center"/>
            <w:tmTcPr id="1790000655" protected="0"/>
          </w:tcPr>
          <w:p>
            <w:pPr>
              <w:spacing/>
              <w:jc w:val="right"/>
              <w:bidi/>
            </w:pPr>
            <w:r>
              <w:rPr>
                <w:sz w:val="17"/>
              </w:rPr>
              <w:t>إعداد Next.js، i18n، RTL، الهيكل العام، ووحدة SEO مركزية</w:t>
            </w:r>
            <w:r/>
          </w:p>
        </w:tc>
        <w:tc>
          <w:tcPr>
            <w:tcW w:w="3475" w:type="dxa"/>
            <w:vAlign w:val="center"/>
            <w:tmTcPr id="1790000655" protected="0"/>
          </w:tcPr>
          <w:p>
            <w:pPr>
              <w:spacing/>
              <w:jc w:val="right"/>
              <w:bidi/>
            </w:pPr>
            <w:r>
              <w:rPr>
                <w:sz w:val="17"/>
              </w:rPr>
              <w:t>المسارات للغات الثلاث تعمل · hreflang متبادل + x-default · lang/dir صحيحان · توليد sitemap.ts وrobots.ts · Lighthouse SEO = 100</w:t>
            </w:r>
            <w:r/>
          </w:p>
        </w:tc>
      </w:tr>
      <w:tr>
        <w:trPr>
          <w:tblHeader w:val="0"/>
          <w:cantSplit w:val="0"/>
          <w:trHeight w:val="0" w:hRule="auto"/>
        </w:trPr>
        <w:tc>
          <w:tcPr>
            <w:tcW w:w="3475" w:type="dxa"/>
            <w:vAlign w:val="center"/>
            <w:tmTcPr id="1790000655" protected="0"/>
          </w:tcPr>
          <w:p>
            <w:pPr>
              <w:spacing/>
              <w:jc w:val="right"/>
              <w:bidi/>
            </w:pPr>
            <w:r>
              <w:rPr>
                <w:sz w:val="17"/>
              </w:rPr>
              <w:t>S2 — المحتوى</w:t>
            </w:r>
            <w:r/>
          </w:p>
        </w:tc>
        <w:tc>
          <w:tcPr>
            <w:tcW w:w="3475" w:type="dxa"/>
            <w:vAlign w:val="center"/>
            <w:tmTcPr id="1790000655" protected="0"/>
          </w:tcPr>
          <w:p>
            <w:pPr>
              <w:spacing/>
              <w:jc w:val="right"/>
              <w:bidi/>
            </w:pPr>
            <w:r>
              <w:rPr>
                <w:sz w:val="17"/>
              </w:rPr>
              <w:t>4 صفحات × 3 لغات، والربط الداخلي</w:t>
            </w:r>
            <w:r/>
          </w:p>
        </w:tc>
        <w:tc>
          <w:tcPr>
            <w:tcW w:w="3475" w:type="dxa"/>
            <w:vAlign w:val="center"/>
            <w:tmTcPr id="1790000655" protected="0"/>
          </w:tcPr>
          <w:p>
            <w:pPr>
              <w:spacing/>
              <w:jc w:val="right"/>
              <w:bidi/>
            </w:pPr>
            <w:r>
              <w:rPr>
                <w:sz w:val="17"/>
              </w:rPr>
              <w:t>Metadata فريدة لكل المسارات الـ12 · canonical مطلق صحيح · JSON-LD يجتاز Rich Results Test · أبعاد الصور محددة ولا CLS · ترتيب عناوين صحيح</w:t>
            </w:r>
            <w:r/>
          </w:p>
        </w:tc>
      </w:tr>
      <w:tr>
        <w:trPr>
          <w:tblHeader w:val="0"/>
          <w:cantSplit w:val="0"/>
          <w:trHeight w:val="0" w:hRule="auto"/>
        </w:trPr>
        <w:tc>
          <w:tcPr>
            <w:tcW w:w="3475" w:type="dxa"/>
            <w:vAlign w:val="center"/>
            <w:tmTcPr id="1790000655" protected="0"/>
          </w:tcPr>
          <w:p>
            <w:pPr>
              <w:spacing/>
              <w:jc w:val="right"/>
              <w:bidi/>
            </w:pPr>
            <w:r>
              <w:rPr>
                <w:sz w:val="17"/>
              </w:rPr>
              <w:t>S3 — التشديد</w:t>
            </w:r>
            <w:r/>
          </w:p>
        </w:tc>
        <w:tc>
          <w:tcPr>
            <w:tcW w:w="3475" w:type="dxa"/>
            <w:vAlign w:val="center"/>
            <w:tmTcPr id="1790000655" protected="0"/>
          </w:tcPr>
          <w:p>
            <w:pPr>
              <w:spacing/>
              <w:jc w:val="right"/>
              <w:bidi/>
            </w:pPr>
            <w:r>
              <w:rPr>
                <w:sz w:val="17"/>
              </w:rPr>
              <w:t>الأداء، إمكانية الوصول، والنشر</w:t>
            </w:r>
            <w:r/>
          </w:p>
        </w:tc>
        <w:tc>
          <w:tcPr>
            <w:tcW w:w="3475" w:type="dxa"/>
            <w:vAlign w:val="center"/>
            <w:tmTcPr id="1790000655" protected="0"/>
          </w:tcPr>
          <w:p>
            <w:pPr>
              <w:spacing/>
              <w:jc w:val="right"/>
              <w:bidi/>
            </w:pPr>
            <w:r>
              <w:rPr>
                <w:sz w:val="17"/>
              </w:rPr>
              <w:t>CWV ضمن الميزانية على الهاتف · axe بلا مخالفات · تنقل كامل بلوحة المفاتيح · OG images تعمل · Search Console موثّق والـsitemap مُرسل</w:t>
            </w:r>
            <w:r/>
          </w:p>
        </w:tc>
      </w:tr>
    </w:tbl>
    <w:p>
      <w:pPr>
        <w:ind w:left="720"/>
      </w:pPr>
      <w:r/>
    </w:p>
    <w:p>
      <w:pPr>
        <w:ind w:left="720"/>
        <w:bidi/>
      </w:pPr>
      <w:r>
        <w:t>أول يومين إلى ثلاثة أيام من S1 عبارة عن Spike لإثبات أن next-intl + App Router + RTL تعمل معًا قبل البناء عليها.</w:t>
      </w:r>
    </w:p>
    <w:p>
      <w:pPr>
        <w:pStyle w:val="para3"/>
        <w:ind w:left="720"/>
        <w:bidi/>
      </w:pPr>
      <w:r>
        <w:rPr>
          <w:b w:val="0"/>
        </w:rPr>
        <w:t>الميزانيات — معايير قبول وليست طموحات</w:t>
      </w:r>
      <w:r/>
    </w:p>
    <w:p>
      <w:pPr>
        <w:ind w:left="720"/>
        <w:bidi/>
      </w:pPr>
      <w:r>
        <w:t>• LCP &lt; 2.5s · CLS &lt; 0.1 · INP &lt; 200ms (هاتف مع throttling)</w:t>
      </w:r>
    </w:p>
    <w:p>
      <w:pPr>
        <w:ind w:left="720"/>
        <w:bidi/>
      </w:pPr>
      <w:r>
        <w:t>• Lighthouse: SEO 100 · Accessibility 95 · Performance 90</w:t>
      </w:r>
    </w:p>
    <w:p>
      <w:pPr>
        <w:ind w:left="720"/>
        <w:bidi/>
      </w:pPr>
      <w:r>
        <w:t>• WCAG 2.1 AA</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907" w:top="907" w:right="907" w:bottom="907"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charset w:val="00"/>
    <w:family w:val="auto"/>
    <w:pitch w:val="default"/>
  </w:font>
  <w:font w:name="Calibri">
    <w:charset w:val="00"/>
    <w:family w:val="auto"/>
    <w:pitch w:val="default"/>
  </w:font>
  <w:font w:name="Courier">
    <w:charset w:val="00"/>
    <w:family w:val="auto"/>
    <w:pitch w:val="default"/>
  </w:font>
  <w:font w:name="Arial">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87"/>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1"/>
    <w:tmLastPosFrameIdx w:val="45"/>
    <w:tmLastPosCaret>
      <w:tmLastPosPgfIdx w:val="0"/>
      <w:tmLastPosIdx w:val="15"/>
    </w:tmLastPosCaret>
    <w:tmLastPosAnchor>
      <w:tmLastPosPgfIdx w:val="0"/>
      <w:tmLastPosIdx w:val="19"/>
    </w:tmLastPosAnchor>
    <w:tmLastPosTblRect w:left="0" w:top="0" w:right="0" w:bottom="0"/>
  </w:tmLastPos>
  <w:tmAppRevision w:date="1790000655"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cs="Arial"/>
      <w:sz w:val="21"/>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b/>
      <w:bCs/>
      <w:color w:val="1f3756"/>
      <w:sz w:val="32"/>
      <w:szCs w:val="28"/>
    </w:rPr>
  </w:style>
  <w:style w:type="paragraph" w:styleId="para4">
    <w:name w:val="heading 2"/>
    <w:qFormat/>
    <w:basedOn w:val="para0"/>
    <w:next w:val="para0"/>
    <w:pPr>
      <w:spacing w:before="200" w:after="0"/>
      <w:keepNext/>
      <w:outlineLvl w:val="1"/>
      <w:keepLines/>
    </w:pPr>
    <w:rPr>
      <w:rFonts w:eastAsia="Calibri"/>
      <w:b/>
      <w:bCs/>
      <w:color w:val="1f3756"/>
      <w:sz w:val="28"/>
      <w:szCs w:val="26"/>
    </w:rPr>
  </w:style>
  <w:style w:type="paragraph" w:styleId="para5">
    <w:name w:val="heading 3"/>
    <w:qFormat/>
    <w:basedOn w:val="para0"/>
    <w:next w:val="para0"/>
    <w:pPr>
      <w:spacing w:before="200" w:after="0"/>
      <w:keepNext/>
      <w:outlineLvl w:val="2"/>
      <w:keepLines/>
    </w:pPr>
    <w:rPr>
      <w:rFonts w:eastAsia="Calibri"/>
      <w:b/>
      <w:bCs/>
      <w:color w:val="1f3756"/>
      <w:sz w:val="24"/>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cs="Arial"/>
      <w:sz w:val="21"/>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b/>
      <w:bCs/>
      <w:color w:val="1f3756"/>
      <w:sz w:val="32"/>
      <w:szCs w:val="28"/>
    </w:rPr>
  </w:style>
  <w:style w:type="paragraph" w:styleId="para4">
    <w:name w:val="heading 2"/>
    <w:qFormat/>
    <w:basedOn w:val="para0"/>
    <w:next w:val="para0"/>
    <w:pPr>
      <w:spacing w:before="200" w:after="0"/>
      <w:keepNext/>
      <w:outlineLvl w:val="1"/>
      <w:keepLines/>
    </w:pPr>
    <w:rPr>
      <w:rFonts w:eastAsia="Calibri"/>
      <w:b/>
      <w:bCs/>
      <w:color w:val="1f3756"/>
      <w:sz w:val="28"/>
      <w:szCs w:val="26"/>
    </w:rPr>
  </w:style>
  <w:style w:type="paragraph" w:styleId="para5">
    <w:name w:val="heading 3"/>
    <w:qFormat/>
    <w:basedOn w:val="para0"/>
    <w:next w:val="para0"/>
    <w:pPr>
      <w:spacing w:before="200" w:after="0"/>
      <w:keepNext/>
      <w:outlineLvl w:val="2"/>
      <w:keepLines/>
    </w:pPr>
    <w:rPr>
      <w:rFonts w:eastAsia="Calibri"/>
      <w:b/>
      <w:bCs/>
      <w:color w:val="1f3756"/>
      <w:sz w:val="24"/>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Calibri"/>
        <a:cs typeface="Arial"/>
      </a:majorFont>
      <a:minorFont>
        <a:latin typeface="Arial"/>
        <a:ea typeface="Cambria"/>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2026-09-21T15:24:15Z</dcterms:modified>
</cp:coreProperties>
</file>