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cs="Arial"/>
          <w:b/>
          <w:sz w:val="44"/>
        </w:rPr>
        <w:t>01 — مقترح المشروع</w:t>
      </w:r>
    </w:p>
    <w:p>
      <w:pPr>
        <w:jc w:val="right"/>
        <w:bidi w:val="1"/>
      </w:pPr>
      <w:r>
        <w:rPr>
          <w:rFonts w:ascii="Arial" w:hAnsi="Arial" w:cs="Arial"/>
          <w:b/>
        </w:rPr>
        <w:t>المشروع: موقع بورتفوليو شخصي لزياد النهدي — Zeyad Alnahdi</w:t>
      </w:r>
    </w:p>
    <w:p>
      <w:pPr>
        <w:jc w:val="right"/>
        <w:bidi w:val="1"/>
      </w:pPr>
      <w:r>
        <w:rPr>
          <w:rFonts w:ascii="Arial" w:hAnsi="Arial" w:cs="Arial"/>
          <w:b w:val="0"/>
        </w:rPr>
        <w:t>المالك: Zeyad Alnahdi · zeyadalnahdii@gmail.com</w:t>
      </w:r>
    </w:p>
    <w:p>
      <w:pPr>
        <w:jc w:val="right"/>
        <w:bidi w:val="1"/>
      </w:pPr>
      <w:r>
        <w:rPr>
          <w:rFonts w:ascii="Arial" w:hAnsi="Arial" w:cs="Arial"/>
          <w:b w:val="0"/>
        </w:rPr>
        <w:t>التاريخ: 2026-09-21</w:t>
      </w:r>
    </w:p>
    <w:p>
      <w:pPr>
        <w:jc w:val="right"/>
        <w:bidi w:val="1"/>
      </w:pPr>
      <w:r>
        <w:rPr>
          <w:rFonts w:ascii="Arial" w:hAnsi="Arial" w:cs="Arial"/>
          <w:b w:val="0"/>
        </w:rPr>
        <w:t>الحالة: مسودة — بانتظار تأكيد المالك على القسم §7</w:t>
      </w:r>
    </w:p>
    <w:p>
      <w:pPr>
        <w:pStyle w:val="Heading1"/>
        <w:jc w:val="right"/>
        <w:bidi w:val="1"/>
      </w:pPr>
      <w:r>
        <w:rPr>
          <w:rFonts w:ascii="Arial" w:hAnsi="Arial" w:cs="Arial"/>
          <w:b w:val="0"/>
        </w:rPr>
        <w:t>1. الغرض</w:t>
      </w:r>
    </w:p>
    <w:p>
      <w:pPr>
        <w:jc w:val="right"/>
        <w:bidi w:val="1"/>
      </w:pPr>
      <w:r>
        <w:rPr>
          <w:rFonts w:ascii="Arial" w:hAnsi="Arial" w:cs="Arial"/>
          <w:b w:val="0"/>
        </w:rPr>
        <w:t>موقع شخصي بثلاث لغات (EN / AR / TR) يجعل زياد النهدي سهل العثور عليه وموثوقًا أمام ثلاث فئات مختلفة من الجمهور، ويحوّل هذا الظهور إلى استفسارات للعمل الحر وفرص وظيفية.</w:t>
      </w:r>
    </w:p>
    <w:p>
      <w:pPr>
        <w:jc w:val="right"/>
        <w:bidi w:val="1"/>
      </w:pPr>
      <w:r>
        <w:rPr>
          <w:rFonts w:ascii="Arial" w:hAnsi="Arial" w:cs="Arial"/>
          <w:b w:val="0"/>
        </w:rPr>
        <w:t>الموقع صغير عن قصد: أربع صفحات، بلا مدونة وبلا CMS. ميزته التنافسية هي جودة التنفيذ التقني — الظهور في البحث، الأداء، إمكانية الوصول، والتنفيذ الصحيح للغات الثلاث — وليس حجم المحتوى. وبالنسبة لمطور Backend، فالموقع نفسه نموذج عمل.</w:t>
      </w:r>
    </w:p>
    <w:p>
      <w:pPr>
        <w:pStyle w:val="Heading1"/>
        <w:jc w:val="right"/>
        <w:bidi w:val="1"/>
      </w:pPr>
      <w:r>
        <w:rPr>
          <w:rFonts w:ascii="Arial" w:hAnsi="Arial" w:cs="Arial"/>
          <w:b w:val="0"/>
        </w:rPr>
        <w:t>2. التموضع</w:t>
      </w:r>
    </w:p>
    <w:p>
      <w:pPr>
        <w:jc w:val="right"/>
        <w:bidi w:val="1"/>
      </w:pPr>
      <w:r>
        <w:rPr>
          <w:rFonts w:ascii="Arial" w:hAnsi="Arial" w:cs="Arial"/>
          <w:b/>
        </w:rPr>
        <w:t>الهوية الأساسية: مطور Backend وتطبيقات سطح المكتب.</w:t>
      </w:r>
    </w:p>
    <w:p>
      <w:pPr>
        <w:jc w:val="right"/>
        <w:bidi w:val="1"/>
      </w:pPr>
      <w:r>
        <w:rPr>
          <w:rFonts w:ascii="Arial" w:hAnsi="Arial" w:cs="Arial"/>
          <w:b/>
        </w:rPr>
        <w:t>التقنيات الأساسية: C# · ASP.NET Core · .NET · SQL Server / PostgreSQL · Clean Architecture · Python/FastAPI · TypeScript/Next.js · Docker</w:t>
      </w:r>
    </w:p>
    <w:p>
      <w:pPr>
        <w:jc w:val="right"/>
        <w:bidi w:val="1"/>
      </w:pPr>
      <w:r>
        <w:rPr>
          <w:rFonts w:ascii="Arial" w:hAnsi="Arial" w:cs="Arial"/>
          <w:b w:val="0"/>
        </w:rPr>
        <w:t>قاعدة الإثبات: هذا التموضع ليس طموحًا غير مثبت؛ بل تدعمه منظومة ASP.NET Core من أربع طبقات مع RAG pipeline تم التحقق منه (§7.1)، وتطبيق سطح مكتب من ثلاث طبقات يعمل فوق 37 stored procedures (§7.2). وظيفة الموقع هي جعل هذا الدليل واضحًا بسرعة، لا ادعاء أكثر مما هو موجود.</w:t>
      </w:r>
    </w:p>
    <w:p>
      <w:pPr>
        <w:jc w:val="right"/>
        <w:bidi w:val="1"/>
      </w:pPr>
      <w:r>
        <w:rPr>
          <w:rFonts w:ascii="Arial" w:hAnsi="Arial" w:cs="Arial"/>
          <w:b w:val="0"/>
        </w:rPr>
        <w:t>عامل التميّز: تُستخدم شهادة علم النفس كقدرة إضافية، وليس كسردية تغيير مسار مهني. الصياغة المقترحة:</w:t>
      </w:r>
    </w:p>
    <w:p>
      <w:pPr>
        <w:jc w:val="right"/>
        <w:bidi w:val="1"/>
      </w:pPr>
      <w:r>
        <w:rPr>
          <w:rFonts w:ascii="Arial" w:hAnsi="Arial" w:cs="Arial"/>
          <w:b w:val="0"/>
        </w:rPr>
        <w:t>«يبني البرمجيات بفهم مُدرَّب لكيفية تصرف الناس فعليًا — ويطبّق ذلك على وضوح الواجهات، ومعالجة الأخطاء، ونمذجة البيانات بما يتوافق مع طريقة تفكير المستخدمين بدلًا من أن تتشكل فقط وفق بنية قواعد البيانات.»</w:t>
      </w:r>
    </w:p>
    <w:p>
      <w:pPr>
        <w:jc w:val="right"/>
        <w:bidi w:val="1"/>
      </w:pPr>
      <w:r>
        <w:rPr>
          <w:rFonts w:ascii="Arial" w:hAnsi="Arial" w:cs="Arial"/>
          <w:b w:val="0"/>
        </w:rPr>
        <w:t>يُذكر هذا مرة واحدة وبصورة عملية في About. ولا يكون العنوان الرئيسي في Home، ولا يُصاغ على أنه «غيّرت مساري المهني». العنوان الرئيسي هو الجانب الهندسي.</w:t>
      </w:r>
    </w:p>
    <w:p>
      <w:pPr>
        <w:pStyle w:val="Heading1"/>
        <w:jc w:val="right"/>
        <w:bidi w:val="1"/>
      </w:pPr>
      <w:r>
        <w:rPr>
          <w:rFonts w:ascii="Arial" w:hAnsi="Arial" w:cs="Arial"/>
          <w:b w:val="0"/>
        </w:rPr>
        <w:t>3. الجمهور واستراتيجية اللغات</w:t>
      </w:r>
    </w:p>
    <w:tbl>
      <w:tblPr>
        <w:tblStyle w:val="TableGrid"/>
        <w:tblW w:type="auto" w:w="0"/>
        <w:jc w:val="right"/>
        <w:tblLook w:firstColumn="1" w:firstRow="1" w:lastColumn="0" w:lastRow="0" w:noHBand="0" w:noVBand="1" w:val="04A0"/>
      </w:tblPr>
      <w:tblGrid>
        <w:gridCol w:w="2606"/>
        <w:gridCol w:w="2606"/>
        <w:gridCol w:w="2606"/>
        <w:gridCol w:w="2606"/>
      </w:tblGrid>
      <w:tr>
        <w:tc>
          <w:tcPr>
            <w:tcW w:type="dxa" w:w="2606"/>
            <w:shd w:fill="1F3756"/>
            <w:vAlign w:val="center"/>
          </w:tcPr>
          <w:p>
            <w:pPr>
              <w:jc w:val="right"/>
              <w:bidi w:val="1"/>
            </w:pPr>
            <w:r/>
            <w:r>
              <w:rPr>
                <w:rFonts w:ascii="Arial" w:hAnsi="Arial" w:cs="Arial"/>
                <w:b/>
                <w:color w:val="FFFFFF"/>
                <w:sz w:val="17"/>
              </w:rPr>
              <w:t>الجمهور</w:t>
            </w:r>
          </w:p>
        </w:tc>
        <w:tc>
          <w:tcPr>
            <w:tcW w:type="dxa" w:w="2606"/>
            <w:shd w:fill="1F3756"/>
            <w:vAlign w:val="center"/>
          </w:tcPr>
          <w:p>
            <w:pPr>
              <w:jc w:val="right"/>
              <w:bidi w:val="1"/>
            </w:pPr>
            <w:r/>
            <w:r>
              <w:rPr>
                <w:rFonts w:ascii="Arial" w:hAnsi="Arial" w:cs="Arial"/>
                <w:b/>
                <w:color w:val="FFFFFF"/>
                <w:sz w:val="17"/>
              </w:rPr>
              <w:t>اللغة</w:t>
            </w:r>
          </w:p>
        </w:tc>
        <w:tc>
          <w:tcPr>
            <w:tcW w:type="dxa" w:w="2606"/>
            <w:shd w:fill="1F3756"/>
            <w:vAlign w:val="center"/>
          </w:tcPr>
          <w:p>
            <w:pPr>
              <w:jc w:val="right"/>
              <w:bidi w:val="1"/>
            </w:pPr>
            <w:r/>
            <w:r>
              <w:rPr>
                <w:rFonts w:ascii="Arial" w:hAnsi="Arial" w:cs="Arial"/>
                <w:b/>
                <w:color w:val="FFFFFF"/>
                <w:sz w:val="17"/>
              </w:rPr>
              <w:t>النية</w:t>
            </w:r>
          </w:p>
        </w:tc>
        <w:tc>
          <w:tcPr>
            <w:tcW w:type="dxa" w:w="2606"/>
            <w:shd w:fill="1F3756"/>
            <w:vAlign w:val="center"/>
          </w:tcPr>
          <w:p>
            <w:pPr>
              <w:jc w:val="right"/>
              <w:bidi w:val="1"/>
            </w:pPr>
            <w:r/>
            <w:r>
              <w:rPr>
                <w:rFonts w:ascii="Arial" w:hAnsi="Arial" w:cs="Arial"/>
                <w:b/>
                <w:color w:val="FFFFFF"/>
                <w:sz w:val="17"/>
              </w:rPr>
              <w:t>الأولوية</w:t>
            </w:r>
          </w:p>
        </w:tc>
      </w:tr>
      <w:tr>
        <w:tc>
          <w:tcPr>
            <w:tcW w:type="dxa" w:w="2606"/>
            <w:vAlign w:val="center"/>
          </w:tcPr>
          <w:p>
            <w:pPr>
              <w:jc w:val="right"/>
              <w:bidi w:val="1"/>
            </w:pPr>
            <w:r/>
            <w:r>
              <w:rPr>
                <w:rFonts w:ascii="Arial" w:hAnsi="Arial" w:cs="Arial"/>
                <w:sz w:val="17"/>
              </w:rPr>
              <w:t>مسؤولو التوظيف عن بُعد والعملاء الدوليون</w:t>
            </w:r>
          </w:p>
        </w:tc>
        <w:tc>
          <w:tcPr>
            <w:tcW w:type="dxa" w:w="2606"/>
            <w:vAlign w:val="center"/>
          </w:tcPr>
          <w:p>
            <w:pPr>
              <w:jc w:val="right"/>
              <w:bidi w:val="1"/>
            </w:pPr>
            <w:r/>
            <w:r>
              <w:rPr>
                <w:rFonts w:ascii="Arial" w:hAnsi="Arial" w:cs="Arial"/>
                <w:sz w:val="17"/>
              </w:rPr>
              <w:t>الإنجليزية</w:t>
            </w:r>
          </w:p>
        </w:tc>
        <w:tc>
          <w:tcPr>
            <w:tcW w:type="dxa" w:w="2606"/>
            <w:vAlign w:val="center"/>
          </w:tcPr>
          <w:p>
            <w:pPr>
              <w:jc w:val="right"/>
              <w:bidi w:val="1"/>
            </w:pPr>
            <w:r/>
            <w:r>
              <w:rPr>
                <w:rFonts w:ascii="Arial" w:hAnsi="Arial" w:cs="Arial"/>
                <w:sz w:val="17"/>
              </w:rPr>
              <w:t>backend developer و.NET developer + مراجعة البورتفوليو</w:t>
            </w:r>
          </w:p>
        </w:tc>
        <w:tc>
          <w:tcPr>
            <w:tcW w:type="dxa" w:w="2606"/>
            <w:vAlign w:val="center"/>
          </w:tcPr>
          <w:p>
            <w:pPr>
              <w:jc w:val="right"/>
              <w:bidi w:val="1"/>
            </w:pPr>
            <w:r/>
            <w:r>
              <w:rPr>
                <w:rFonts w:ascii="Arial" w:hAnsi="Arial" w:cs="Arial"/>
                <w:sz w:val="17"/>
              </w:rPr>
              <w:t>1</w:t>
            </w:r>
          </w:p>
        </w:tc>
      </w:tr>
      <w:tr>
        <w:tc>
          <w:tcPr>
            <w:tcW w:type="dxa" w:w="2606"/>
            <w:vAlign w:val="center"/>
          </w:tcPr>
          <w:p>
            <w:pPr>
              <w:jc w:val="right"/>
              <w:bidi w:val="1"/>
            </w:pPr>
            <w:r/>
            <w:r>
              <w:rPr>
                <w:rFonts w:ascii="Arial" w:hAnsi="Arial" w:cs="Arial"/>
                <w:sz w:val="17"/>
              </w:rPr>
              <w:t>أصحاب العمل والوكالات التركية (أنقرة / أق سراي)</w:t>
            </w:r>
          </w:p>
        </w:tc>
        <w:tc>
          <w:tcPr>
            <w:tcW w:type="dxa" w:w="2606"/>
            <w:vAlign w:val="center"/>
          </w:tcPr>
          <w:p>
            <w:pPr>
              <w:jc w:val="right"/>
              <w:bidi w:val="1"/>
            </w:pPr>
            <w:r/>
            <w:r>
              <w:rPr>
                <w:rFonts w:ascii="Arial" w:hAnsi="Arial" w:cs="Arial"/>
                <w:sz w:val="17"/>
              </w:rPr>
              <w:t>التركية</w:t>
            </w:r>
          </w:p>
        </w:tc>
        <w:tc>
          <w:tcPr>
            <w:tcW w:type="dxa" w:w="2606"/>
            <w:vAlign w:val="center"/>
          </w:tcPr>
          <w:p>
            <w:pPr>
              <w:jc w:val="right"/>
              <w:bidi w:val="1"/>
            </w:pPr>
            <w:r/>
            <w:r>
              <w:rPr>
                <w:rFonts w:ascii="Arial" w:hAnsi="Arial" w:cs="Arial"/>
                <w:sz w:val="17"/>
              </w:rPr>
              <w:t>التوظيف المحلي، yazılım geliştirici</w:t>
            </w:r>
          </w:p>
        </w:tc>
        <w:tc>
          <w:tcPr>
            <w:tcW w:type="dxa" w:w="2606"/>
            <w:vAlign w:val="center"/>
          </w:tcPr>
          <w:p>
            <w:pPr>
              <w:jc w:val="right"/>
              <w:bidi w:val="1"/>
            </w:pPr>
            <w:r/>
            <w:r>
              <w:rPr>
                <w:rFonts w:ascii="Arial" w:hAnsi="Arial" w:cs="Arial"/>
                <w:sz w:val="17"/>
              </w:rPr>
              <w:t>2</w:t>
            </w:r>
          </w:p>
        </w:tc>
      </w:tr>
      <w:tr>
        <w:tc>
          <w:tcPr>
            <w:tcW w:type="dxa" w:w="2606"/>
            <w:vAlign w:val="center"/>
          </w:tcPr>
          <w:p>
            <w:pPr>
              <w:jc w:val="right"/>
              <w:bidi w:val="1"/>
            </w:pPr>
            <w:r/>
            <w:r>
              <w:rPr>
                <w:rFonts w:ascii="Arial" w:hAnsi="Arial" w:cs="Arial"/>
                <w:sz w:val="17"/>
              </w:rPr>
              <w:t>عملاء العمل الحر الناطقون بالعربية</w:t>
            </w:r>
          </w:p>
        </w:tc>
        <w:tc>
          <w:tcPr>
            <w:tcW w:type="dxa" w:w="2606"/>
            <w:vAlign w:val="center"/>
          </w:tcPr>
          <w:p>
            <w:pPr>
              <w:jc w:val="right"/>
              <w:bidi w:val="1"/>
            </w:pPr>
            <w:r/>
            <w:r>
              <w:rPr>
                <w:rFonts w:ascii="Arial" w:hAnsi="Arial" w:cs="Arial"/>
                <w:sz w:val="17"/>
              </w:rPr>
              <w:t>العربية</w:t>
            </w:r>
          </w:p>
        </w:tc>
        <w:tc>
          <w:tcPr>
            <w:tcW w:type="dxa" w:w="2606"/>
            <w:vAlign w:val="center"/>
          </w:tcPr>
          <w:p>
            <w:pPr>
              <w:jc w:val="right"/>
              <w:bidi w:val="1"/>
            </w:pPr>
            <w:r/>
            <w:r>
              <w:rPr>
                <w:rFonts w:ascii="Arial" w:hAnsi="Arial" w:cs="Arial"/>
                <w:sz w:val="17"/>
              </w:rPr>
              <w:t>العمل القائم على المشاريع وأنظمة سطح المكتب</w:t>
            </w:r>
          </w:p>
        </w:tc>
        <w:tc>
          <w:tcPr>
            <w:tcW w:type="dxa" w:w="2606"/>
            <w:vAlign w:val="center"/>
          </w:tcPr>
          <w:p>
            <w:pPr>
              <w:jc w:val="right"/>
              <w:bidi w:val="1"/>
            </w:pPr>
            <w:r/>
            <w:r>
              <w:rPr>
                <w:rFonts w:ascii="Arial" w:hAnsi="Arial" w:cs="Arial"/>
                <w:sz w:val="17"/>
              </w:rPr>
              <w:t>3</w:t>
            </w:r>
          </w:p>
        </w:tc>
      </w:tr>
    </w:tbl>
    <w:p/>
    <w:p>
      <w:pPr>
        <w:jc w:val="right"/>
        <w:bidi w:val="1"/>
      </w:pPr>
      <w:r>
        <w:rPr>
          <w:rFonts w:ascii="Arial" w:hAnsi="Arial" w:cs="Arial"/>
          <w:b w:val="0"/>
        </w:rPr>
        <w:t>القرار: en هي اللغة الافتراضية. تخدم أوسع جمهور، وهي اللغة التي يستخدمها مسؤولو التوظيف في المراجعة، وهي اللغة التي يكتب بها المالك بطلاقة أكبر. التركية والعربية لغتان أساسيتان وليستا ترجمتين ثانويتين، ولكل منهما كلمات مفتاحية تُبحث بصورة مستقلة (راجع 02-keyword-plan.md).</w:t>
      </w:r>
    </w:p>
    <w:p>
      <w:pPr>
        <w:jc w:val="right"/>
        <w:bidi w:val="1"/>
      </w:pPr>
      <w:r>
        <w:rPr>
          <w:rFonts w:ascii="Arial" w:hAnsi="Arial" w:cs="Arial"/>
          <w:b w:val="0"/>
        </w:rPr>
        <w:t>لا توجد إعادة توجيه حسب IP. يتم اختيار اللغة عبر مسار URL ومبدّل لغة صريح.</w:t>
      </w:r>
    </w:p>
    <w:p>
      <w:pPr>
        <w:pStyle w:val="Heading1"/>
        <w:jc w:val="right"/>
        <w:bidi w:val="1"/>
      </w:pPr>
      <w:r>
        <w:rPr>
          <w:rFonts w:ascii="Arial" w:hAnsi="Arial" w:cs="Arial"/>
          <w:b w:val="0"/>
        </w:rPr>
        <w:t>4. الأهداف — قابلة للقياس</w:t>
      </w:r>
    </w:p>
    <w:tbl>
      <w:tblPr>
        <w:tblStyle w:val="TableGrid"/>
        <w:tblW w:type="auto" w:w="0"/>
        <w:jc w:val="right"/>
        <w:tblLook w:firstColumn="1" w:firstRow="1" w:lastColumn="0" w:lastRow="0" w:noHBand="0" w:noVBand="1" w:val="04A0"/>
      </w:tblPr>
      <w:tblGrid>
        <w:gridCol w:w="2606"/>
        <w:gridCol w:w="2606"/>
        <w:gridCol w:w="2606"/>
        <w:gridCol w:w="2606"/>
      </w:tblGrid>
      <w:tr>
        <w:tc>
          <w:tcPr>
            <w:tcW w:type="dxa" w:w="2606"/>
            <w:shd w:fill="1F3756"/>
            <w:vAlign w:val="center"/>
          </w:tcPr>
          <w:p>
            <w:pPr>
              <w:jc w:val="right"/>
              <w:bidi w:val="1"/>
            </w:pPr>
            <w:r/>
            <w:r>
              <w:rPr>
                <w:rFonts w:ascii="Arial" w:hAnsi="Arial" w:cs="Arial"/>
                <w:b/>
                <w:color w:val="FFFFFF"/>
                <w:sz w:val="17"/>
              </w:rPr>
              <w:t>#</w:t>
            </w:r>
          </w:p>
        </w:tc>
        <w:tc>
          <w:tcPr>
            <w:tcW w:type="dxa" w:w="2606"/>
            <w:shd w:fill="1F3756"/>
            <w:vAlign w:val="center"/>
          </w:tcPr>
          <w:p>
            <w:pPr>
              <w:jc w:val="right"/>
              <w:bidi w:val="1"/>
            </w:pPr>
            <w:r/>
            <w:r>
              <w:rPr>
                <w:rFonts w:ascii="Arial" w:hAnsi="Arial" w:cs="Arial"/>
                <w:b/>
                <w:color w:val="FFFFFF"/>
                <w:sz w:val="17"/>
              </w:rPr>
              <w:t>الهدف</w:t>
            </w:r>
          </w:p>
        </w:tc>
        <w:tc>
          <w:tcPr>
            <w:tcW w:type="dxa" w:w="2606"/>
            <w:shd w:fill="1F3756"/>
            <w:vAlign w:val="center"/>
          </w:tcPr>
          <w:p>
            <w:pPr>
              <w:jc w:val="right"/>
              <w:bidi w:val="1"/>
            </w:pPr>
            <w:r/>
            <w:r>
              <w:rPr>
                <w:rFonts w:ascii="Arial" w:hAnsi="Arial" w:cs="Arial"/>
                <w:b/>
                <w:color w:val="FFFFFF"/>
                <w:sz w:val="17"/>
              </w:rPr>
              <w:t>المقياس</w:t>
            </w:r>
          </w:p>
        </w:tc>
        <w:tc>
          <w:tcPr>
            <w:tcW w:type="dxa" w:w="2606"/>
            <w:shd w:fill="1F3756"/>
            <w:vAlign w:val="center"/>
          </w:tcPr>
          <w:p>
            <w:pPr>
              <w:jc w:val="right"/>
              <w:bidi w:val="1"/>
            </w:pPr>
            <w:r/>
            <w:r>
              <w:rPr>
                <w:rFonts w:ascii="Arial" w:hAnsi="Arial" w:cs="Arial"/>
                <w:b/>
                <w:color w:val="FFFFFF"/>
                <w:sz w:val="17"/>
              </w:rPr>
              <w:t>القيمة المستهدفة</w:t>
            </w:r>
          </w:p>
        </w:tc>
      </w:tr>
      <w:tr>
        <w:tc>
          <w:tcPr>
            <w:tcW w:type="dxa" w:w="2606"/>
            <w:vAlign w:val="center"/>
          </w:tcPr>
          <w:p>
            <w:pPr>
              <w:jc w:val="right"/>
              <w:bidi w:val="1"/>
            </w:pPr>
            <w:r/>
            <w:r>
              <w:rPr>
                <w:rFonts w:ascii="Arial" w:hAnsi="Arial" w:cs="Arial"/>
                <w:sz w:val="17"/>
              </w:rPr>
              <w:t>G1</w:t>
            </w:r>
          </w:p>
        </w:tc>
        <w:tc>
          <w:tcPr>
            <w:tcW w:type="dxa" w:w="2606"/>
            <w:vAlign w:val="center"/>
          </w:tcPr>
          <w:p>
            <w:pPr>
              <w:jc w:val="right"/>
              <w:bidi w:val="1"/>
            </w:pPr>
            <w:r/>
            <w:r>
              <w:rPr>
                <w:rFonts w:ascii="Arial" w:hAnsi="Arial" w:cs="Arial"/>
                <w:sz w:val="17"/>
              </w:rPr>
              <w:t>امتلاك استعلام الاسم</w:t>
            </w:r>
          </w:p>
        </w:tc>
        <w:tc>
          <w:tcPr>
            <w:tcW w:type="dxa" w:w="2606"/>
            <w:vAlign w:val="center"/>
          </w:tcPr>
          <w:p>
            <w:pPr>
              <w:jc w:val="right"/>
              <w:bidi w:val="1"/>
            </w:pPr>
            <w:r/>
            <w:r>
              <w:rPr>
                <w:rFonts w:ascii="Arial" w:hAnsi="Arial" w:cs="Arial"/>
                <w:sz w:val="17"/>
              </w:rPr>
              <w:t>الترتيب لعبارتي Zeyad Alnahdi / زياد النهدي</w:t>
            </w:r>
          </w:p>
        </w:tc>
        <w:tc>
          <w:tcPr>
            <w:tcW w:type="dxa" w:w="2606"/>
            <w:vAlign w:val="center"/>
          </w:tcPr>
          <w:p>
            <w:pPr>
              <w:jc w:val="right"/>
              <w:bidi w:val="1"/>
            </w:pPr>
            <w:r/>
            <w:r>
              <w:rPr>
                <w:rFonts w:ascii="Arial" w:hAnsi="Arial" w:cs="Arial"/>
                <w:sz w:val="17"/>
              </w:rPr>
              <w:t>المركز 1–3 خلال 60 يومًا</w:t>
            </w:r>
          </w:p>
        </w:tc>
      </w:tr>
      <w:tr>
        <w:tc>
          <w:tcPr>
            <w:tcW w:type="dxa" w:w="2606"/>
            <w:vAlign w:val="center"/>
          </w:tcPr>
          <w:p>
            <w:pPr>
              <w:jc w:val="right"/>
              <w:bidi w:val="1"/>
            </w:pPr>
            <w:r/>
            <w:r>
              <w:rPr>
                <w:rFonts w:ascii="Arial" w:hAnsi="Arial" w:cs="Arial"/>
                <w:sz w:val="17"/>
              </w:rPr>
              <w:t>G2</w:t>
            </w:r>
          </w:p>
        </w:tc>
        <w:tc>
          <w:tcPr>
            <w:tcW w:type="dxa" w:w="2606"/>
            <w:vAlign w:val="center"/>
          </w:tcPr>
          <w:p>
            <w:pPr>
              <w:jc w:val="right"/>
              <w:bidi w:val="1"/>
            </w:pPr>
            <w:r/>
            <w:r>
              <w:rPr>
                <w:rFonts w:ascii="Arial" w:hAnsi="Arial" w:cs="Arial"/>
                <w:sz w:val="17"/>
              </w:rPr>
              <w:t>الفهرسة الكاملة</w:t>
            </w:r>
          </w:p>
        </w:tc>
        <w:tc>
          <w:tcPr>
            <w:tcW w:type="dxa" w:w="2606"/>
            <w:vAlign w:val="center"/>
          </w:tcPr>
          <w:p>
            <w:pPr>
              <w:jc w:val="right"/>
              <w:bidi w:val="1"/>
            </w:pPr>
            <w:r/>
            <w:r>
              <w:rPr>
                <w:rFonts w:ascii="Arial" w:hAnsi="Arial" w:cs="Arial"/>
                <w:sz w:val="17"/>
              </w:rPr>
              <w:t>المسارات المفهرسة في Search Console</w:t>
            </w:r>
          </w:p>
        </w:tc>
        <w:tc>
          <w:tcPr>
            <w:tcW w:type="dxa" w:w="2606"/>
            <w:vAlign w:val="center"/>
          </w:tcPr>
          <w:p>
            <w:pPr>
              <w:jc w:val="right"/>
              <w:bidi w:val="1"/>
            </w:pPr>
            <w:r/>
            <w:r>
              <w:rPr>
                <w:rFonts w:ascii="Arial" w:hAnsi="Arial" w:cs="Arial"/>
                <w:sz w:val="17"/>
              </w:rPr>
              <w:t>12 / 12 خلال 30 يومًا</w:t>
            </w:r>
          </w:p>
        </w:tc>
      </w:tr>
      <w:tr>
        <w:tc>
          <w:tcPr>
            <w:tcW w:type="dxa" w:w="2606"/>
            <w:vAlign w:val="center"/>
          </w:tcPr>
          <w:p>
            <w:pPr>
              <w:jc w:val="right"/>
              <w:bidi w:val="1"/>
            </w:pPr>
            <w:r/>
            <w:r>
              <w:rPr>
                <w:rFonts w:ascii="Arial" w:hAnsi="Arial" w:cs="Arial"/>
                <w:sz w:val="17"/>
              </w:rPr>
              <w:t>G3</w:t>
            </w:r>
          </w:p>
        </w:tc>
        <w:tc>
          <w:tcPr>
            <w:tcW w:type="dxa" w:w="2606"/>
            <w:vAlign w:val="center"/>
          </w:tcPr>
          <w:p>
            <w:pPr>
              <w:jc w:val="right"/>
              <w:bidi w:val="1"/>
            </w:pPr>
            <w:r/>
            <w:r>
              <w:rPr>
                <w:rFonts w:ascii="Arial" w:hAnsi="Arial" w:cs="Arial"/>
                <w:sz w:val="17"/>
              </w:rPr>
              <w:t>الجودة التقنية كدليل</w:t>
            </w:r>
          </w:p>
        </w:tc>
        <w:tc>
          <w:tcPr>
            <w:tcW w:type="dxa" w:w="2606"/>
            <w:vAlign w:val="center"/>
          </w:tcPr>
          <w:p>
            <w:pPr>
              <w:jc w:val="right"/>
              <w:bidi w:val="1"/>
            </w:pPr>
            <w:r/>
            <w:r>
              <w:rPr>
                <w:rFonts w:ascii="Arial" w:hAnsi="Arial" w:cs="Arial"/>
                <w:sz w:val="17"/>
              </w:rPr>
              <w:t>Lighthouse (الهاتف)</w:t>
            </w:r>
          </w:p>
        </w:tc>
        <w:tc>
          <w:tcPr>
            <w:tcW w:type="dxa" w:w="2606"/>
            <w:vAlign w:val="center"/>
          </w:tcPr>
          <w:p>
            <w:pPr>
              <w:jc w:val="right"/>
              <w:bidi w:val="1"/>
            </w:pPr>
            <w:r/>
            <w:r>
              <w:rPr>
                <w:rFonts w:ascii="Arial" w:hAnsi="Arial" w:cs="Arial"/>
                <w:sz w:val="17"/>
              </w:rPr>
              <w:t>SEO 100 · A11y 95 · Perf 90</w:t>
            </w:r>
          </w:p>
        </w:tc>
      </w:tr>
      <w:tr>
        <w:tc>
          <w:tcPr>
            <w:tcW w:type="dxa" w:w="2606"/>
            <w:vAlign w:val="center"/>
          </w:tcPr>
          <w:p>
            <w:pPr>
              <w:jc w:val="right"/>
              <w:bidi w:val="1"/>
            </w:pPr>
            <w:r/>
            <w:r>
              <w:rPr>
                <w:rFonts w:ascii="Arial" w:hAnsi="Arial" w:cs="Arial"/>
                <w:sz w:val="17"/>
              </w:rPr>
              <w:t>G4</w:t>
            </w:r>
          </w:p>
        </w:tc>
        <w:tc>
          <w:tcPr>
            <w:tcW w:type="dxa" w:w="2606"/>
            <w:vAlign w:val="center"/>
          </w:tcPr>
          <w:p>
            <w:pPr>
              <w:jc w:val="right"/>
              <w:bidi w:val="1"/>
            </w:pPr>
            <w:r/>
            <w:r>
              <w:rPr>
                <w:rFonts w:ascii="Arial" w:hAnsi="Arial" w:cs="Arial"/>
                <w:sz w:val="17"/>
              </w:rPr>
              <w:t>الأداء الميداني</w:t>
            </w:r>
          </w:p>
        </w:tc>
        <w:tc>
          <w:tcPr>
            <w:tcW w:type="dxa" w:w="2606"/>
            <w:vAlign w:val="center"/>
          </w:tcPr>
          <w:p>
            <w:pPr>
              <w:jc w:val="right"/>
              <w:bidi w:val="1"/>
            </w:pPr>
            <w:r/>
            <w:r>
              <w:rPr>
                <w:rFonts w:ascii="Arial" w:hAnsi="Arial" w:cs="Arial"/>
                <w:sz w:val="17"/>
              </w:rPr>
              <w:t>Core Web Vitals</w:t>
            </w:r>
          </w:p>
        </w:tc>
        <w:tc>
          <w:tcPr>
            <w:tcW w:type="dxa" w:w="2606"/>
            <w:vAlign w:val="center"/>
          </w:tcPr>
          <w:p>
            <w:pPr>
              <w:jc w:val="right"/>
              <w:bidi w:val="1"/>
            </w:pPr>
            <w:r/>
            <w:r>
              <w:rPr>
                <w:rFonts w:ascii="Arial" w:hAnsi="Arial" w:cs="Arial"/>
                <w:sz w:val="17"/>
              </w:rPr>
              <w:t>LCP &lt; 2.5s · CLS &lt; 0.1 · INP &lt; 200ms</w:t>
            </w:r>
          </w:p>
        </w:tc>
      </w:tr>
      <w:tr>
        <w:tc>
          <w:tcPr>
            <w:tcW w:type="dxa" w:w="2606"/>
            <w:vAlign w:val="center"/>
          </w:tcPr>
          <w:p>
            <w:pPr>
              <w:jc w:val="right"/>
              <w:bidi w:val="1"/>
            </w:pPr>
            <w:r/>
            <w:r>
              <w:rPr>
                <w:rFonts w:ascii="Arial" w:hAnsi="Arial" w:cs="Arial"/>
                <w:sz w:val="17"/>
              </w:rPr>
              <w:t>G5</w:t>
            </w:r>
          </w:p>
        </w:tc>
        <w:tc>
          <w:tcPr>
            <w:tcW w:type="dxa" w:w="2606"/>
            <w:vAlign w:val="center"/>
          </w:tcPr>
          <w:p>
            <w:pPr>
              <w:jc w:val="right"/>
              <w:bidi w:val="1"/>
            </w:pPr>
            <w:r/>
            <w:r>
              <w:rPr>
                <w:rFonts w:ascii="Arial" w:hAnsi="Arial" w:cs="Arial"/>
                <w:sz w:val="17"/>
              </w:rPr>
              <w:t>التحويل</w:t>
            </w:r>
          </w:p>
        </w:tc>
        <w:tc>
          <w:tcPr>
            <w:tcW w:type="dxa" w:w="2606"/>
            <w:vAlign w:val="center"/>
          </w:tcPr>
          <w:p>
            <w:pPr>
              <w:jc w:val="right"/>
              <w:bidi w:val="1"/>
            </w:pPr>
            <w:r/>
            <w:r>
              <w:rPr>
                <w:rFonts w:ascii="Arial" w:hAnsi="Arial" w:cs="Arial"/>
                <w:sz w:val="17"/>
              </w:rPr>
              <w:t>إرسال نموذج التواصل + الرسائل المباشرة</w:t>
            </w:r>
          </w:p>
        </w:tc>
        <w:tc>
          <w:tcPr>
            <w:tcW w:type="dxa" w:w="2606"/>
            <w:vAlign w:val="center"/>
          </w:tcPr>
          <w:p>
            <w:pPr>
              <w:jc w:val="right"/>
              <w:bidi w:val="1"/>
            </w:pPr>
            <w:r/>
            <w:r>
              <w:rPr>
                <w:rFonts w:ascii="Arial" w:hAnsi="Arial" w:cs="Arial"/>
                <w:sz w:val="17"/>
              </w:rPr>
              <w:t>يُتتبع من الإطلاق؛ بلا هدف في v1</w:t>
            </w:r>
          </w:p>
        </w:tc>
      </w:tr>
      <w:tr>
        <w:tc>
          <w:tcPr>
            <w:tcW w:type="dxa" w:w="2606"/>
            <w:vAlign w:val="center"/>
          </w:tcPr>
          <w:p>
            <w:pPr>
              <w:jc w:val="right"/>
              <w:bidi w:val="1"/>
            </w:pPr>
            <w:r/>
            <w:r>
              <w:rPr>
                <w:rFonts w:ascii="Arial" w:hAnsi="Arial" w:cs="Arial"/>
                <w:sz w:val="17"/>
              </w:rPr>
              <w:t>G6</w:t>
            </w:r>
          </w:p>
        </w:tc>
        <w:tc>
          <w:tcPr>
            <w:tcW w:type="dxa" w:w="2606"/>
            <w:vAlign w:val="center"/>
          </w:tcPr>
          <w:p>
            <w:pPr>
              <w:jc w:val="right"/>
              <w:bidi w:val="1"/>
            </w:pPr>
            <w:r/>
            <w:r>
              <w:rPr>
                <w:rFonts w:ascii="Arial" w:hAnsi="Arial" w:cs="Arial"/>
                <w:sz w:val="17"/>
              </w:rPr>
              <w:t>صحة اللغات الثلاث</w:t>
            </w:r>
          </w:p>
        </w:tc>
        <w:tc>
          <w:tcPr>
            <w:tcW w:type="dxa" w:w="2606"/>
            <w:vAlign w:val="center"/>
          </w:tcPr>
          <w:p>
            <w:pPr>
              <w:jc w:val="right"/>
              <w:bidi w:val="1"/>
            </w:pPr>
            <w:r/>
            <w:r>
              <w:rPr>
                <w:rFonts w:ascii="Arial" w:hAnsi="Arial" w:cs="Arial"/>
                <w:sz w:val="17"/>
              </w:rPr>
              <w:t>أخطاء hreflang في Search Console</w:t>
            </w:r>
          </w:p>
        </w:tc>
        <w:tc>
          <w:tcPr>
            <w:tcW w:type="dxa" w:w="2606"/>
            <w:vAlign w:val="center"/>
          </w:tcPr>
          <w:p>
            <w:pPr>
              <w:jc w:val="right"/>
              <w:bidi w:val="1"/>
            </w:pPr>
            <w:r/>
            <w:r>
              <w:rPr>
                <w:rFonts w:ascii="Arial" w:hAnsi="Arial" w:cs="Arial"/>
                <w:sz w:val="17"/>
              </w:rPr>
              <w:t>صفر</w:t>
            </w:r>
          </w:p>
        </w:tc>
      </w:tr>
    </w:tbl>
    <w:p/>
    <w:p>
      <w:pPr>
        <w:jc w:val="right"/>
        <w:bidi w:val="1"/>
      </w:pPr>
      <w:r>
        <w:rPr>
          <w:rFonts w:ascii="Arial" w:hAnsi="Arial" w:cs="Arial"/>
          <w:b w:val="0"/>
        </w:rPr>
        <w:t>G1–G4 بوابات. أما G5 فيُراقب ولا يوضع له هدف حتى تتوفر بيانات أساسية.</w:t>
      </w:r>
    </w:p>
    <w:p>
      <w:pPr>
        <w:pStyle w:val="Heading1"/>
        <w:jc w:val="right"/>
        <w:bidi w:val="1"/>
      </w:pPr>
      <w:r>
        <w:rPr>
          <w:rFonts w:ascii="Arial" w:hAnsi="Arial" w:cs="Arial"/>
          <w:b w:val="0"/>
        </w:rPr>
        <w:t>5. النطاق</w:t>
      </w:r>
    </w:p>
    <w:p>
      <w:pPr>
        <w:jc w:val="right"/>
        <w:bidi w:val="1"/>
      </w:pPr>
      <w:r>
        <w:rPr>
          <w:rFonts w:ascii="Arial" w:hAnsi="Arial" w:cs="Arial"/>
          <w:b/>
        </w:rPr>
        <w:t>داخل النطاق</w:t>
      </w:r>
    </w:p>
    <w:p>
      <w:pPr>
        <w:jc w:val="right"/>
        <w:bidi w:val="1"/>
      </w:pPr>
      <w:r>
        <w:rPr>
          <w:rFonts w:ascii="Arial" w:hAnsi="Arial" w:cs="Arial"/>
          <w:b w:val="0"/>
        </w:rPr>
        <w:t>• أربع صفحات — Home وAbout وProjects وContact — بثلاث لغات = 12 مسارًا.</w:t>
      </w:r>
    </w:p>
    <w:p>
      <w:pPr>
        <w:jc w:val="right"/>
        <w:bidi w:val="1"/>
      </w:pPr>
      <w:r>
        <w:rPr>
          <w:rFonts w:ascii="Arial" w:hAnsi="Arial" w:cs="Arial"/>
          <w:b w:val="0"/>
        </w:rPr>
        <w:t>• عرض مشروعين كبطاقات في صفحة Projects (دون مسارات مستقلة لكل مشروع في v1؛ راجع §7).</w:t>
      </w:r>
    </w:p>
    <w:p>
      <w:pPr>
        <w:jc w:val="right"/>
        <w:bidi w:val="1"/>
      </w:pPr>
      <w:r>
        <w:rPr>
          <w:rFonts w:ascii="Arial" w:hAnsi="Arial" w:cs="Arial"/>
          <w:b w:val="0"/>
        </w:rPr>
        <w:t>• نموذج تواصل، CV قابل للتنزيل لكل لغة، الوضع الداكن، ودعم RTL كامل للعربية.</w:t>
      </w:r>
    </w:p>
    <w:p>
      <w:pPr>
        <w:jc w:val="right"/>
        <w:bidi w:val="1"/>
      </w:pPr>
      <w:r>
        <w:rPr>
          <w:rFonts w:ascii="Arial" w:hAnsi="Arial" w:cs="Arial"/>
          <w:b w:val="0"/>
        </w:rPr>
        <w:t>• طبقة SEO تقنية كاملة تُنفذ منذ Sprint 1 ولا تُضاف لاحقًا بأثر رجعي.</w:t>
      </w:r>
    </w:p>
    <w:p>
      <w:pPr>
        <w:jc w:val="right"/>
        <w:bidi w:val="1"/>
      </w:pPr>
      <w:r>
        <w:rPr>
          <w:rFonts w:ascii="Arial" w:hAnsi="Arial" w:cs="Arial"/>
          <w:b/>
        </w:rPr>
        <w:t>خارج نطاق v1 — ويتطلب تغييرًا صريحًا في النطاق</w:t>
      </w:r>
    </w:p>
    <w:p>
      <w:pPr>
        <w:jc w:val="right"/>
        <w:bidi w:val="1"/>
      </w:pPr>
      <w:r>
        <w:rPr>
          <w:rFonts w:ascii="Arial" w:hAnsi="Arial" w:cs="Arial"/>
          <w:b w:val="0"/>
        </w:rPr>
        <w:t>• Blog، CMS، التعليقات، newsletter، لوحات analytics، أو i18n يتجاوز اللغات الثلاث.</w:t>
      </w:r>
    </w:p>
    <w:p>
      <w:pPr>
        <w:pStyle w:val="Heading1"/>
        <w:jc w:val="right"/>
        <w:bidi w:val="1"/>
      </w:pPr>
      <w:r>
        <w:rPr>
          <w:rFonts w:ascii="Arial" w:hAnsi="Arial" w:cs="Arial"/>
          <w:b w:val="0"/>
        </w:rPr>
        <w:t>6. القيود</w:t>
      </w:r>
    </w:p>
    <w:p>
      <w:pPr>
        <w:jc w:val="right"/>
        <w:bidi w:val="1"/>
      </w:pPr>
      <w:r>
        <w:rPr>
          <w:rFonts w:ascii="Arial" w:hAnsi="Arial" w:cs="Arial"/>
          <w:b w:val="0"/>
        </w:rPr>
        <w:t>• الدومين: لم يُشترَ بعد. يحجب تثبيت canonical URLs وhreflang وOG tags وSearch Console، لأنها تحتاج origin مطلقًا. مطلوب قبل إغلاق Sprint 1. المقترح: zeyadalnahdi.com. لاحظ أن البريد يحتوي على i مزدوجة ولا ينبغي نقل ذلك إلى الدومين.</w:t>
      </w:r>
    </w:p>
    <w:p>
      <w:pPr>
        <w:jc w:val="right"/>
        <w:bidi w:val="1"/>
      </w:pPr>
      <w:r>
        <w:rPr>
          <w:rFonts w:ascii="Arial" w:hAnsi="Arial" w:cs="Arial"/>
          <w:b w:val="0"/>
        </w:rPr>
        <w:t>• الاستضافة: Vercel + دومين مخصص.</w:t>
      </w:r>
    </w:p>
    <w:p>
      <w:pPr>
        <w:jc w:val="right"/>
        <w:bidi w:val="1"/>
      </w:pPr>
      <w:r>
        <w:rPr>
          <w:rFonts w:ascii="Arial" w:hAnsi="Arial" w:cs="Arial"/>
          <w:b w:val="0"/>
        </w:rPr>
        <w:t>• المحتوى: يحتاج المالك إلى مساعدة في إنتاج النصوص باللغات الثلاث. يجب أن يمر النص التركي بمراجعة من متحدث أصلي قبل السماح بفهرسته.</w:t>
      </w:r>
    </w:p>
    <w:p>
      <w:pPr>
        <w:jc w:val="right"/>
        <w:bidi w:val="1"/>
      </w:pPr>
      <w:r>
        <w:rPr>
          <w:rFonts w:ascii="Arial" w:hAnsi="Arial" w:cs="Arial"/>
          <w:b w:val="0"/>
        </w:rPr>
        <w:t>• رقم الهاتف: غير متوفر بعد؛ تم تأجيل WhatsApp. يجب أن تعمل صفحة Contact بصورة سليمة بدونه.</w:t>
      </w:r>
    </w:p>
    <w:p>
      <w:pPr>
        <w:pStyle w:val="Heading1"/>
        <w:jc w:val="right"/>
        <w:bidi w:val="1"/>
      </w:pPr>
      <w:r>
        <w:rPr>
          <w:rFonts w:ascii="Arial" w:hAnsi="Arial" w:cs="Arial"/>
          <w:b w:val="0"/>
        </w:rPr>
        <w:t>7. جرد البورتفوليو</w:t>
      </w:r>
    </w:p>
    <w:p>
      <w:pPr>
        <w:jc w:val="right"/>
        <w:bidi w:val="1"/>
      </w:pPr>
      <w:r>
        <w:rPr>
          <w:rFonts w:ascii="Arial" w:hAnsi="Arial" w:cs="Arial"/>
          <w:b w:val="0"/>
        </w:rPr>
        <w:t>تم التقييم مباشرة من المستودعات. جرى تقييم ai-autonomous-workspace على فرع dev، وهو متقدم بصورة كبيرة على main؛ لذلك فإن تقييمًا سابقًا اعتمد على main وحده قلل من حجم المشروع بصورة واضحة.</w:t>
      </w:r>
    </w:p>
    <w:p>
      <w:pPr>
        <w:pStyle w:val="Heading2"/>
        <w:jc w:val="right"/>
        <w:bidi w:val="1"/>
      </w:pPr>
      <w:r>
        <w:rPr>
          <w:rFonts w:ascii="Arial" w:hAnsi="Arial" w:cs="Arial"/>
          <w:b w:val="0"/>
        </w:rPr>
        <w:t>7.1 ai-autonomous-workspace — المشروع الرئيسي</w:t>
      </w:r>
    </w:p>
    <w:p>
      <w:pPr>
        <w:jc w:val="right"/>
        <w:bidi w:val="1"/>
      </w:pPr>
      <w:r>
        <w:rPr>
          <w:rFonts w:ascii="Arial" w:hAnsi="Arial" w:cs="Arial"/>
          <w:b w:val="0"/>
        </w:rPr>
        <w:t>الحالة: Sprints 0–2 مكتملة، وSprint 3 (Hardening) قيد التنفيذ. 598 ملفًا: 189 C#، و80 Python، و41 TS/TSX. يوجد 45 ملف اختبار للـBackend و40 ملف اختبار لخدمة AI.</w:t>
      </w:r>
    </w:p>
    <w:tbl>
      <w:tblPr>
        <w:tblStyle w:val="TableGrid"/>
        <w:tblW w:type="auto" w:w="0"/>
        <w:jc w:val="right"/>
        <w:tblLook w:firstColumn="1" w:firstRow="1" w:lastColumn="0" w:lastRow="0" w:noHBand="0" w:noVBand="1" w:val="04A0"/>
      </w:tblPr>
      <w:tblGrid>
        <w:gridCol w:w="5213"/>
        <w:gridCol w:w="5213"/>
      </w:tblGrid>
      <w:tr>
        <w:tc>
          <w:tcPr>
            <w:tcW w:type="dxa" w:w="5213"/>
            <w:shd w:fill="1F3756"/>
            <w:vAlign w:val="center"/>
          </w:tcPr>
          <w:p>
            <w:pPr>
              <w:jc w:val="right"/>
              <w:bidi w:val="1"/>
            </w:pPr>
            <w:r/>
            <w:r>
              <w:rPr>
                <w:rFonts w:ascii="Arial" w:hAnsi="Arial" w:cs="Arial"/>
                <w:b/>
                <w:color w:val="FFFFFF"/>
                <w:sz w:val="17"/>
              </w:rPr>
              <w:t>الجانب</w:t>
            </w:r>
          </w:p>
        </w:tc>
        <w:tc>
          <w:tcPr>
            <w:tcW w:type="dxa" w:w="5213"/>
            <w:shd w:fill="1F3756"/>
            <w:vAlign w:val="center"/>
          </w:tcPr>
          <w:p>
            <w:pPr>
              <w:jc w:val="right"/>
              <w:bidi w:val="1"/>
            </w:pPr>
            <w:r/>
            <w:r>
              <w:rPr>
                <w:rFonts w:ascii="Arial" w:hAnsi="Arial" w:cs="Arial"/>
                <w:b/>
                <w:color w:val="FFFFFF"/>
                <w:sz w:val="17"/>
              </w:rPr>
              <w:t>الدليل</w:t>
            </w:r>
          </w:p>
        </w:tc>
      </w:tr>
      <w:tr>
        <w:tc>
          <w:tcPr>
            <w:tcW w:type="dxa" w:w="5213"/>
            <w:vAlign w:val="center"/>
          </w:tcPr>
          <w:p>
            <w:pPr>
              <w:jc w:val="right"/>
              <w:bidi w:val="1"/>
            </w:pPr>
            <w:r/>
            <w:r>
              <w:rPr>
                <w:rFonts w:ascii="Arial" w:hAnsi="Arial" w:cs="Arial"/>
                <w:sz w:val="17"/>
              </w:rPr>
              <w:t>Architecture</w:t>
            </w:r>
          </w:p>
        </w:tc>
        <w:tc>
          <w:tcPr>
            <w:tcW w:type="dxa" w:w="5213"/>
            <w:vAlign w:val="center"/>
          </w:tcPr>
          <w:p>
            <w:pPr>
              <w:jc w:val="right"/>
              <w:bidi w:val="1"/>
            </w:pPr>
            <w:r/>
            <w:r>
              <w:rPr>
                <w:rFonts w:ascii="Arial" w:hAnsi="Arial" w:cs="Arial"/>
                <w:sz w:val="17"/>
              </w:rPr>
              <w:t>ASP.NET Core 10 في أربع طبقات: Domain / Application / Infrastructure / Api. تطبيق Clean Architecture فعليًا وليس شكليًا.</w:t>
            </w:r>
          </w:p>
        </w:tc>
      </w:tr>
      <w:tr>
        <w:tc>
          <w:tcPr>
            <w:tcW w:type="dxa" w:w="5213"/>
            <w:vAlign w:val="center"/>
          </w:tcPr>
          <w:p>
            <w:pPr>
              <w:jc w:val="right"/>
              <w:bidi w:val="1"/>
            </w:pPr>
            <w:r/>
            <w:r>
              <w:rPr>
                <w:rFonts w:ascii="Arial" w:hAnsi="Arial" w:cs="Arial"/>
                <w:sz w:val="17"/>
              </w:rPr>
              <w:t>نظام متعدد التقنيات</w:t>
            </w:r>
          </w:p>
        </w:tc>
        <w:tc>
          <w:tcPr>
            <w:tcW w:type="dxa" w:w="5213"/>
            <w:vAlign w:val="center"/>
          </w:tcPr>
          <w:p>
            <w:pPr>
              <w:jc w:val="right"/>
              <w:bidi w:val="1"/>
            </w:pPr>
            <w:r/>
            <w:r>
              <w:rPr>
                <w:rFonts w:ascii="Arial" w:hAnsi="Arial" w:cs="Arial"/>
                <w:sz w:val="17"/>
              </w:rPr>
              <w:t>ASP.NET Core + FastAPI (Python) + Next.js frontend، وPostgreSQL 16 وQdrant داخل Docker، وOllama للاستدلال المحلي.</w:t>
            </w:r>
          </w:p>
        </w:tc>
      </w:tr>
      <w:tr>
        <w:tc>
          <w:tcPr>
            <w:tcW w:type="dxa" w:w="5213"/>
            <w:vAlign w:val="center"/>
          </w:tcPr>
          <w:p>
            <w:pPr>
              <w:jc w:val="right"/>
              <w:bidi w:val="1"/>
            </w:pPr>
            <w:r/>
            <w:r>
              <w:rPr>
                <w:rFonts w:ascii="Arial" w:hAnsi="Arial" w:cs="Arial"/>
                <w:sz w:val="17"/>
              </w:rPr>
              <w:t>RAG يعمل فعليًا</w:t>
            </w:r>
          </w:p>
        </w:tc>
        <w:tc>
          <w:tcPr>
            <w:tcW w:type="dxa" w:w="5213"/>
            <w:vAlign w:val="center"/>
          </w:tcPr>
          <w:p>
            <w:pPr>
              <w:jc w:val="right"/>
              <w:bidi w:val="1"/>
            </w:pPr>
            <w:r/>
            <w:r>
              <w:rPr>
                <w:rFonts w:ascii="Arial" w:hAnsi="Arial" w:cs="Arial"/>
                <w:sz w:val="17"/>
              </w:rPr>
              <w:t>Pipeline كامل: استخراج PDF → OCR → chunking → bge-m3 embeddings → Qdrant → hybrid retrieval → qwen2.5:7b → إجابات موثقة بالمصادر. 19 خدمة منفصلة في طبقة AI.</w:t>
            </w:r>
          </w:p>
        </w:tc>
      </w:tr>
      <w:tr>
        <w:tc>
          <w:tcPr>
            <w:tcW w:type="dxa" w:w="5213"/>
            <w:vAlign w:val="center"/>
          </w:tcPr>
          <w:p>
            <w:pPr>
              <w:jc w:val="right"/>
              <w:bidi w:val="1"/>
            </w:pPr>
            <w:r/>
            <w:r>
              <w:rPr>
                <w:rFonts w:ascii="Arial" w:hAnsi="Arial" w:cs="Arial"/>
                <w:sz w:val="17"/>
              </w:rPr>
              <w:t>Arabic NLP</w:t>
            </w:r>
          </w:p>
        </w:tc>
        <w:tc>
          <w:tcPr>
            <w:tcW w:type="dxa" w:w="5213"/>
            <w:vAlign w:val="center"/>
          </w:tcPr>
          <w:p>
            <w:pPr>
              <w:jc w:val="right"/>
              <w:bidi w:val="1"/>
            </w:pPr>
            <w:r/>
            <w:r>
              <w:rPr>
                <w:rFonts w:ascii="Arial" w:hAnsi="Arial" w:cs="Arial"/>
                <w:sz w:val="17"/>
              </w:rPr>
              <w:t>خدمات مخصصة: arabic_query_expansion وtext_quality_service وlanguage_service، مع فرع test/arabic-quality-gate.</w:t>
            </w:r>
          </w:p>
        </w:tc>
      </w:tr>
      <w:tr>
        <w:tc>
          <w:tcPr>
            <w:tcW w:type="dxa" w:w="5213"/>
            <w:vAlign w:val="center"/>
          </w:tcPr>
          <w:p>
            <w:pPr>
              <w:jc w:val="right"/>
              <w:bidi w:val="1"/>
            </w:pPr>
            <w:r/>
            <w:r>
              <w:rPr>
                <w:rFonts w:ascii="Arial" w:hAnsi="Arial" w:cs="Arial"/>
                <w:sz w:val="17"/>
              </w:rPr>
              <w:t>Domain modelling</w:t>
            </w:r>
          </w:p>
        </w:tc>
        <w:tc>
          <w:tcPr>
            <w:tcW w:type="dxa" w:w="5213"/>
            <w:vAlign w:val="center"/>
          </w:tcPr>
          <w:p>
            <w:pPr>
              <w:jc w:val="right"/>
              <w:bidi w:val="1"/>
            </w:pPr>
            <w:r/>
            <w:r>
              <w:rPr>
                <w:rFonts w:ascii="Arial" w:hAnsi="Arial" w:cs="Arial"/>
                <w:sz w:val="17"/>
              </w:rPr>
              <w:t>11 كيانًا، وEnums صريحة منها DocumentStatusTransitions؛ أي state machine ممثلة بدل status strings عشوائية.</w:t>
            </w:r>
          </w:p>
        </w:tc>
      </w:tr>
      <w:tr>
        <w:tc>
          <w:tcPr>
            <w:tcW w:type="dxa" w:w="5213"/>
            <w:vAlign w:val="center"/>
          </w:tcPr>
          <w:p>
            <w:pPr>
              <w:jc w:val="right"/>
              <w:bidi w:val="1"/>
            </w:pPr>
            <w:r/>
            <w:r>
              <w:rPr>
                <w:rFonts w:ascii="Arial" w:hAnsi="Arial" w:cs="Arial"/>
                <w:sz w:val="17"/>
              </w:rPr>
              <w:t>العملية الهندسية</w:t>
            </w:r>
          </w:p>
        </w:tc>
        <w:tc>
          <w:tcPr>
            <w:tcW w:type="dxa" w:w="5213"/>
            <w:vAlign w:val="center"/>
          </w:tcPr>
          <w:p>
            <w:pPr>
              <w:jc w:val="right"/>
              <w:bidi w:val="1"/>
            </w:pPr>
            <w:r/>
            <w:r>
              <w:rPr>
                <w:rFonts w:ascii="Arial" w:hAnsi="Arial" w:cs="Arial"/>
                <w:sz w:val="17"/>
              </w:rPr>
              <w:t>24 وثيقة تخطيط، CI workflow، وانضباط فروع main/dev.</w:t>
            </w:r>
          </w:p>
        </w:tc>
      </w:tr>
      <w:tr>
        <w:tc>
          <w:tcPr>
            <w:tcW w:type="dxa" w:w="5213"/>
            <w:vAlign w:val="center"/>
          </w:tcPr>
          <w:p>
            <w:pPr>
              <w:jc w:val="right"/>
              <w:bidi w:val="1"/>
            </w:pPr>
            <w:r/>
            <w:r>
              <w:rPr>
                <w:rFonts w:ascii="Arial" w:hAnsi="Arial" w:cs="Arial"/>
                <w:sz w:val="17"/>
              </w:rPr>
              <w:t>مقاس لا مُدّعى</w:t>
            </w:r>
          </w:p>
        </w:tc>
        <w:tc>
          <w:tcPr>
            <w:tcW w:type="dxa" w:w="5213"/>
            <w:vAlign w:val="center"/>
          </w:tcPr>
          <w:p>
            <w:pPr>
              <w:jc w:val="right"/>
              <w:bidi w:val="1"/>
            </w:pPr>
            <w:r/>
            <w:r>
              <w:rPr>
                <w:rFonts w:ascii="Arial" w:hAnsi="Arial" w:cs="Arial"/>
                <w:sz w:val="17"/>
              </w:rPr>
              <w:t>docs/runtime-verification.md يسجل تشغيلًا end-to-end حقيقيًا مع الأزمنة: رفع → Indexed خلال 32.6 ثانية، PDF من 35 صفحة و31,507 حرفًا، ويذكر النتائج غير الجيدة أيضًا.</w:t>
            </w:r>
          </w:p>
        </w:tc>
      </w:tr>
    </w:tbl>
    <w:p/>
    <w:p>
      <w:pPr>
        <w:jc w:val="right"/>
        <w:bidi w:val="1"/>
      </w:pPr>
      <w:r>
        <w:rPr>
          <w:rFonts w:ascii="Arial" w:hAnsi="Arial" w:cs="Arial"/>
          <w:b w:val="0"/>
        </w:rPr>
        <w:t>التقييم في الوثيقة: هذا أقوى أصل في البورتفوليو بفارق كبير. فهو يثبت تصميم الأنظمة الموزعة، وبنية AI، والاسترجاع متعدد اللغات، والانضباط في التحقق في الوقت نفسه. وثيقة runtime-verification.md خصوصًا — القياس بدل الادعاء — تستحق الظهور في الموقع.</w:t>
      </w:r>
    </w:p>
    <w:p>
      <w:pPr>
        <w:jc w:val="right"/>
        <w:bidi w:val="1"/>
      </w:pPr>
      <w:r>
        <w:rPr>
          <w:rFonts w:ascii="Arial" w:hAnsi="Arial" w:cs="Arial"/>
          <w:b w:val="0"/>
        </w:rPr>
        <w:t>القيد الذي يجب ذكره بصدق لا إخفاؤه: واجهة مساعد AI الخاصة بـSprints 5–7 لم تُبنَ بعد. RAG pipeline يعمل وتم التحقق منه، لكن ميزة المنتج المبنية فوقه غير مكتملة. يجب قول ذلك صراحة.</w:t>
      </w:r>
    </w:p>
    <w:p>
      <w:pPr>
        <w:pStyle w:val="Heading2"/>
        <w:jc w:val="right"/>
        <w:bidi w:val="1"/>
      </w:pPr>
      <w:r>
        <w:rPr>
          <w:rFonts w:ascii="Arial" w:hAnsi="Arial" w:cs="Arial"/>
          <w:b w:val="0"/>
        </w:rPr>
        <w:t>7.2 Restaurant_Management — مشروع داعم</w:t>
      </w:r>
    </w:p>
    <w:p>
      <w:pPr>
        <w:jc w:val="right"/>
        <w:bidi w:val="1"/>
      </w:pPr>
      <w:r>
        <w:rPr>
          <w:rFonts w:ascii="Arial" w:hAnsi="Arial" w:cs="Arial"/>
          <w:b w:val="0"/>
        </w:rPr>
        <w:t>مكتمل وموثق جيدًا. C# WinForms، .NET Framework 4.7.2، SQL Server. ثلاث طبقات (FM → PL → DAL)، stored procedures حصريًا، تقارير RDLC. 9 نماذج · 10 جداول · 37 stored procedures. واجهة عربية RTL.</w:t>
      </w:r>
    </w:p>
    <w:p>
      <w:pPr>
        <w:jc w:val="right"/>
        <w:bidi w:val="1"/>
      </w:pPr>
      <w:r>
        <w:rPr>
          <w:rFonts w:ascii="Arial" w:hAnsi="Arial" w:cs="Arial"/>
          <w:b w:val="0"/>
        </w:rPr>
        <w:t>يثبت مباشرة جانب تطبيقات سطح المكتب من التموضع، وهو جانب لا يغطيه مشروع AI. لذلك يُحتفظ به؛ فالمشروعان متكاملان وليسا مكررين.</w:t>
      </w:r>
    </w:p>
    <w:p>
      <w:pPr>
        <w:jc w:val="right"/>
        <w:bidi w:val="1"/>
      </w:pPr>
      <w:r>
        <w:rPr>
          <w:rFonts w:ascii="Arial" w:hAnsi="Arial" w:cs="Arial"/>
          <w:b w:val="0"/>
        </w:rPr>
        <w:t>ملاحظة: README عربي فقط. وبما أن الموقع افتراضيه الإنجليزية ويستهدف مسؤولي توظيف دوليين، فهناك حاجة إلى README إنجليزي. أما واجهة RTL العربية نفسها فهي دليل حقيقي على العمل متعدد اللغات في هذا المشروع.</w:t>
      </w:r>
    </w:p>
    <w:p>
      <w:pPr>
        <w:pStyle w:val="Heading2"/>
        <w:jc w:val="right"/>
        <w:bidi w:val="1"/>
      </w:pPr>
      <w:r>
        <w:rPr>
          <w:rFonts w:ascii="Arial" w:hAnsi="Arial" w:cs="Arial"/>
          <w:b w:val="0"/>
        </w:rPr>
        <w:t>7.3 مشكلة الظهور</w:t>
      </w:r>
    </w:p>
    <w:p>
      <w:pPr>
        <w:jc w:val="right"/>
        <w:bidi w:val="1"/>
      </w:pPr>
      <w:r>
        <w:rPr>
          <w:rFonts w:ascii="Arial" w:hAnsi="Arial" w:cs="Arial"/>
          <w:b w:val="0"/>
        </w:rPr>
        <w:t>تم جعل ai-autonomous-workspace عامًا مؤقتًا لهذا التقييم، والمقصود إعادته إلى private. وترى الوثيقة أن هذا يضعف دراسة الحالة بصورة جوهرية.</w:t>
      </w:r>
    </w:p>
    <w:p>
      <w:pPr>
        <w:jc w:val="right"/>
        <w:bidi w:val="1"/>
      </w:pPr>
      <w:r>
        <w:rPr>
          <w:rFonts w:ascii="Arial" w:hAnsi="Arial" w:cs="Arial"/>
          <w:b w:val="0"/>
        </w:rPr>
        <w:t>دراسة حالة تصف مستودعًا خاصًا لا يمكن التحقق منه تطلب من القارئ تصديق مطور غير معروف بشأن 598 ملفًا من العمل. ولشخص بلا سجل وظيفي يمكن الإشارة إليه، فإن الكود القابل للتحقق هو نفسه الاعتماد. الأرقام المقاسة في runtime-verification.md تفقد جزءًا كبيرًا من قوتها عندما لا يستطيع أحد فتح الملف.</w:t>
      </w:r>
    </w:p>
    <w:p>
      <w:pPr>
        <w:jc w:val="right"/>
        <w:bidi w:val="1"/>
      </w:pPr>
      <w:r>
        <w:rPr>
          <w:rFonts w:ascii="Arial" w:hAnsi="Arial" w:cs="Arial"/>
          <w:b w:val="0"/>
        </w:rPr>
        <w:t>التوصية الواردة في الوثيقة: جعل المستودع عامًا بصورة دائمة. وإذا كان هناك محتوى محدد يجب أن يبقى خاصًا، فالبدائل بالترتيب:</w:t>
      </w:r>
    </w:p>
    <w:p>
      <w:pPr>
        <w:jc w:val="right"/>
        <w:bidi w:val="1"/>
      </w:pPr>
      <w:r>
        <w:rPr>
          <w:rFonts w:ascii="Arial" w:hAnsi="Arial" w:cs="Arial"/>
          <w:b w:val="0"/>
        </w:rPr>
        <w:t>• مستودع عام مع main منسق: دمج حالة قابلة للعرض في main، مع إبقاء التجارب على الفروع. يحافظ على قابلية التحقق الكاملة.</w:t>
      </w:r>
    </w:p>
    <w:p>
      <w:pPr>
        <w:jc w:val="right"/>
        <w:bidi w:val="1"/>
      </w:pPr>
      <w:r>
        <w:rPr>
          <w:rFonts w:ascii="Arial" w:hAnsi="Arial" w:cs="Arial"/>
          <w:b w:val="0"/>
        </w:rPr>
        <w:t>• مستودع Showcase عام: جزء مختار يشمل وثائق Architecture وطبقة AI وruntime-verification.md. دليل جزئي وجهد متوسط.</w:t>
      </w:r>
    </w:p>
    <w:p>
      <w:pPr>
        <w:jc w:val="right"/>
        <w:bidi w:val="1"/>
      </w:pPr>
      <w:r>
        <w:rPr>
          <w:rFonts w:ascii="Arial" w:hAnsi="Arial" w:cs="Arial"/>
          <w:b w:val="0"/>
        </w:rPr>
        <w:t>• مستودع خاص + Case Study مفصلة + screenshots: الأضعف، ويُقبل فقط عند وجود سبب حقيقي مثل نية تجارية غير معلنة أو محتوى مرخّص أو credentials في التاريخ. كون المشروع غير مكتمل وحده ليس سببًا بحسب الوثيقة.</w:t>
      </w:r>
    </w:p>
    <w:p>
      <w:pPr>
        <w:jc w:val="right"/>
        <w:bidi w:val="1"/>
      </w:pPr>
      <w:r>
        <w:rPr>
          <w:rFonts w:ascii="Arial" w:hAnsi="Arial" w:cs="Arial"/>
          <w:b w:val="0"/>
        </w:rPr>
        <w:t>إذا كانت المشكلة هي secrets في git history، فترى الوثيقة أن ذلك قابل للحل ويستحق الحل عبر تدقيق التاريخ بدل إبقاء العمل مخفيًا.</w:t>
      </w:r>
    </w:p>
    <w:p>
      <w:pPr>
        <w:pStyle w:val="Heading1"/>
        <w:jc w:val="right"/>
        <w:bidi w:val="1"/>
      </w:pPr>
      <w:r>
        <w:rPr>
          <w:rFonts w:ascii="Arial" w:hAnsi="Arial" w:cs="Arial"/>
          <w:b w:val="0"/>
        </w:rPr>
        <w:t>8. معايير النجاح</w:t>
      </w:r>
    </w:p>
    <w:p>
      <w:pPr>
        <w:jc w:val="right"/>
        <w:bidi w:val="1"/>
      </w:pPr>
      <w:r>
        <w:rPr>
          <w:rFonts w:ascii="Arial" w:hAnsi="Arial" w:cs="Arial"/>
          <w:b w:val="0"/>
        </w:rPr>
        <w:t>يُعد المشروع مكتملًا عندما تكون المسارات الـ12 منشورة ومفهرسة، وتتحقق G1–G4 وG6، وتتم مراجعة اللغات الثلاث بواسطة متحدث كفء، وتجتاز جميع بوابات جودة CI في 09-cicd.md على فرع main.</w:t>
      </w:r>
    </w:p>
    <w:p>
      <w:pPr>
        <w:pStyle w:val="Heading1"/>
        <w:jc w:val="right"/>
        <w:bidi w:val="1"/>
      </w:pPr>
      <w:r>
        <w:rPr>
          <w:rFonts w:ascii="Arial" w:hAnsi="Arial" w:cs="Arial"/>
          <w:b w:val="0"/>
        </w:rPr>
        <w:t>9. القرارات المفتوحة</w:t>
      </w:r>
    </w:p>
    <w:tbl>
      <w:tblPr>
        <w:tblStyle w:val="TableGrid"/>
        <w:tblW w:type="auto" w:w="0"/>
        <w:jc w:val="right"/>
        <w:tblLook w:firstColumn="1" w:firstRow="1" w:lastColumn="0" w:lastRow="0" w:noHBand="0" w:noVBand="1" w:val="04A0"/>
      </w:tblPr>
      <w:tblGrid>
        <w:gridCol w:w="2606"/>
        <w:gridCol w:w="2606"/>
        <w:gridCol w:w="2606"/>
        <w:gridCol w:w="2606"/>
      </w:tblGrid>
      <w:tr>
        <w:tc>
          <w:tcPr>
            <w:tcW w:type="dxa" w:w="2606"/>
            <w:shd w:fill="1F3756"/>
            <w:vAlign w:val="center"/>
          </w:tcPr>
          <w:p>
            <w:pPr>
              <w:jc w:val="right"/>
              <w:bidi w:val="1"/>
            </w:pPr>
            <w:r/>
            <w:r>
              <w:rPr>
                <w:rFonts w:ascii="Arial" w:hAnsi="Arial" w:cs="Arial"/>
                <w:b/>
                <w:color w:val="FFFFFF"/>
                <w:sz w:val="17"/>
              </w:rPr>
              <w:t>#</w:t>
            </w:r>
          </w:p>
        </w:tc>
        <w:tc>
          <w:tcPr>
            <w:tcW w:type="dxa" w:w="2606"/>
            <w:shd w:fill="1F3756"/>
            <w:vAlign w:val="center"/>
          </w:tcPr>
          <w:p>
            <w:pPr>
              <w:jc w:val="right"/>
              <w:bidi w:val="1"/>
            </w:pPr>
            <w:r/>
            <w:r>
              <w:rPr>
                <w:rFonts w:ascii="Arial" w:hAnsi="Arial" w:cs="Arial"/>
                <w:b/>
                <w:color w:val="FFFFFF"/>
                <w:sz w:val="17"/>
              </w:rPr>
              <w:t>القرار</w:t>
            </w:r>
          </w:p>
        </w:tc>
        <w:tc>
          <w:tcPr>
            <w:tcW w:type="dxa" w:w="2606"/>
            <w:shd w:fill="1F3756"/>
            <w:vAlign w:val="center"/>
          </w:tcPr>
          <w:p>
            <w:pPr>
              <w:jc w:val="right"/>
              <w:bidi w:val="1"/>
            </w:pPr>
            <w:r/>
            <w:r>
              <w:rPr>
                <w:rFonts w:ascii="Arial" w:hAnsi="Arial" w:cs="Arial"/>
                <w:b/>
                <w:color w:val="FFFFFF"/>
                <w:sz w:val="17"/>
              </w:rPr>
              <w:t>الحالة</w:t>
            </w:r>
          </w:p>
        </w:tc>
        <w:tc>
          <w:tcPr>
            <w:tcW w:type="dxa" w:w="2606"/>
            <w:shd w:fill="1F3756"/>
            <w:vAlign w:val="center"/>
          </w:tcPr>
          <w:p>
            <w:pPr>
              <w:jc w:val="right"/>
              <w:bidi w:val="1"/>
            </w:pPr>
            <w:r/>
            <w:r>
              <w:rPr>
                <w:rFonts w:ascii="Arial" w:hAnsi="Arial" w:cs="Arial"/>
                <w:b/>
                <w:color w:val="FFFFFF"/>
                <w:sz w:val="17"/>
              </w:rPr>
              <w:t>ما الذي يتوقف عليه</w:t>
            </w:r>
          </w:p>
        </w:tc>
      </w:tr>
      <w:tr>
        <w:tc>
          <w:tcPr>
            <w:tcW w:type="dxa" w:w="2606"/>
            <w:vAlign w:val="center"/>
          </w:tcPr>
          <w:p>
            <w:pPr>
              <w:jc w:val="right"/>
              <w:bidi w:val="1"/>
            </w:pPr>
            <w:r/>
            <w:r>
              <w:rPr>
                <w:rFonts w:ascii="Arial" w:hAnsi="Arial" w:cs="Arial"/>
                <w:sz w:val="17"/>
              </w:rPr>
              <w:t>D1</w:t>
            </w:r>
          </w:p>
        </w:tc>
        <w:tc>
          <w:tcPr>
            <w:tcW w:type="dxa" w:w="2606"/>
            <w:vAlign w:val="center"/>
          </w:tcPr>
          <w:p>
            <w:pPr>
              <w:jc w:val="right"/>
              <w:bidi w:val="1"/>
            </w:pPr>
            <w:r/>
            <w:r>
              <w:rPr>
                <w:rFonts w:ascii="Arial" w:hAnsi="Arial" w:cs="Arial"/>
                <w:sz w:val="17"/>
              </w:rPr>
              <w:t>اسم الدومين وشراؤه</w:t>
            </w:r>
          </w:p>
        </w:tc>
        <w:tc>
          <w:tcPr>
            <w:tcW w:type="dxa" w:w="2606"/>
            <w:vAlign w:val="center"/>
          </w:tcPr>
          <w:p>
            <w:pPr>
              <w:jc w:val="right"/>
              <w:bidi w:val="1"/>
            </w:pPr>
            <w:r/>
            <w:r>
              <w:rPr>
                <w:rFonts w:ascii="Arial" w:hAnsi="Arial" w:cs="Arial"/>
                <w:sz w:val="17"/>
              </w:rPr>
              <w:t>مفتوح — zeyadalnahdi.com موصى به</w:t>
            </w:r>
          </w:p>
        </w:tc>
        <w:tc>
          <w:tcPr>
            <w:tcW w:type="dxa" w:w="2606"/>
            <w:vAlign w:val="center"/>
          </w:tcPr>
          <w:p>
            <w:pPr>
              <w:jc w:val="right"/>
              <w:bidi w:val="1"/>
            </w:pPr>
            <w:r/>
            <w:r>
              <w:rPr>
                <w:rFonts w:ascii="Arial" w:hAnsi="Arial" w:cs="Arial"/>
                <w:sz w:val="17"/>
              </w:rPr>
              <w:t>إغلاق Sprint 1</w:t>
            </w:r>
          </w:p>
        </w:tc>
      </w:tr>
      <w:tr>
        <w:tc>
          <w:tcPr>
            <w:tcW w:type="dxa" w:w="2606"/>
            <w:vAlign w:val="center"/>
          </w:tcPr>
          <w:p>
            <w:pPr>
              <w:jc w:val="right"/>
              <w:bidi w:val="1"/>
            </w:pPr>
            <w:r/>
            <w:r>
              <w:rPr>
                <w:rFonts w:ascii="Arial" w:hAnsi="Arial" w:cs="Arial"/>
                <w:sz w:val="17"/>
              </w:rPr>
              <w:t>D2</w:t>
            </w:r>
          </w:p>
        </w:tc>
        <w:tc>
          <w:tcPr>
            <w:tcW w:type="dxa" w:w="2606"/>
            <w:vAlign w:val="center"/>
          </w:tcPr>
          <w:p>
            <w:pPr>
              <w:jc w:val="right"/>
              <w:bidi w:val="1"/>
            </w:pPr>
            <w:r/>
            <w:r>
              <w:rPr>
                <w:rFonts w:ascii="Arial" w:hAnsi="Arial" w:cs="Arial"/>
                <w:sz w:val="17"/>
              </w:rPr>
              <w:t>ظهور Restaurant_Management</w:t>
            </w:r>
          </w:p>
        </w:tc>
        <w:tc>
          <w:tcPr>
            <w:tcW w:type="dxa" w:w="2606"/>
            <w:vAlign w:val="center"/>
          </w:tcPr>
          <w:p>
            <w:pPr>
              <w:jc w:val="right"/>
              <w:bidi w:val="1"/>
            </w:pPr>
            <w:r/>
            <w:r>
              <w:rPr>
                <w:rFonts w:ascii="Arial" w:hAnsi="Arial" w:cs="Arial"/>
                <w:sz w:val="17"/>
              </w:rPr>
              <w:t>مفتوح — جعله عامًا موصى به</w:t>
            </w:r>
          </w:p>
        </w:tc>
        <w:tc>
          <w:tcPr>
            <w:tcW w:type="dxa" w:w="2606"/>
            <w:vAlign w:val="center"/>
          </w:tcPr>
          <w:p>
            <w:pPr>
              <w:jc w:val="right"/>
              <w:bidi w:val="1"/>
            </w:pPr>
            <w:r/>
            <w:r>
              <w:rPr>
                <w:rFonts w:ascii="Arial" w:hAnsi="Arial" w:cs="Arial"/>
                <w:sz w:val="17"/>
              </w:rPr>
              <w:t>Sprint 2</w:t>
            </w:r>
          </w:p>
        </w:tc>
      </w:tr>
      <w:tr>
        <w:tc>
          <w:tcPr>
            <w:tcW w:type="dxa" w:w="2606"/>
            <w:vAlign w:val="center"/>
          </w:tcPr>
          <w:p>
            <w:pPr>
              <w:jc w:val="right"/>
              <w:bidi w:val="1"/>
            </w:pPr>
            <w:r/>
            <w:r>
              <w:rPr>
                <w:rFonts w:ascii="Arial" w:hAnsi="Arial" w:cs="Arial"/>
                <w:sz w:val="17"/>
              </w:rPr>
              <w:t>D3</w:t>
            </w:r>
          </w:p>
        </w:tc>
        <w:tc>
          <w:tcPr>
            <w:tcW w:type="dxa" w:w="2606"/>
            <w:vAlign w:val="center"/>
          </w:tcPr>
          <w:p>
            <w:pPr>
              <w:jc w:val="right"/>
              <w:bidi w:val="1"/>
            </w:pPr>
            <w:r/>
            <w:r>
              <w:rPr>
                <w:rFonts w:ascii="Arial" w:hAnsi="Arial" w:cs="Arial"/>
                <w:sz w:val="17"/>
              </w:rPr>
              <w:t>ظهور ai-autonomous-workspace (§7.3)</w:t>
            </w:r>
          </w:p>
        </w:tc>
        <w:tc>
          <w:tcPr>
            <w:tcW w:type="dxa" w:w="2606"/>
            <w:vAlign w:val="center"/>
          </w:tcPr>
          <w:p>
            <w:pPr>
              <w:jc w:val="right"/>
              <w:bidi w:val="1"/>
            </w:pPr>
            <w:r/>
            <w:r>
              <w:rPr>
                <w:rFonts w:ascii="Arial" w:hAnsi="Arial" w:cs="Arial"/>
                <w:sz w:val="17"/>
              </w:rPr>
              <w:t>مفتوح — جعله عامًا دائمًا موصى به بقوة</w:t>
            </w:r>
          </w:p>
        </w:tc>
        <w:tc>
          <w:tcPr>
            <w:tcW w:type="dxa" w:w="2606"/>
            <w:vAlign w:val="center"/>
          </w:tcPr>
          <w:p>
            <w:pPr>
              <w:jc w:val="right"/>
              <w:bidi w:val="1"/>
            </w:pPr>
            <w:r/>
            <w:r>
              <w:rPr>
                <w:rFonts w:ascii="Arial" w:hAnsi="Arial" w:cs="Arial"/>
                <w:sz w:val="17"/>
              </w:rPr>
              <w:t>Sprint 2؛ يحدد قوة دراسة الحالة</w:t>
            </w:r>
          </w:p>
        </w:tc>
      </w:tr>
      <w:tr>
        <w:tc>
          <w:tcPr>
            <w:tcW w:type="dxa" w:w="2606"/>
            <w:vAlign w:val="center"/>
          </w:tcPr>
          <w:p>
            <w:pPr>
              <w:jc w:val="right"/>
              <w:bidi w:val="1"/>
            </w:pPr>
            <w:r/>
            <w:r>
              <w:rPr>
                <w:rFonts w:ascii="Arial" w:hAnsi="Arial" w:cs="Arial"/>
                <w:sz w:val="17"/>
              </w:rPr>
              <w:t>D4</w:t>
            </w:r>
          </w:p>
        </w:tc>
        <w:tc>
          <w:tcPr>
            <w:tcW w:type="dxa" w:w="2606"/>
            <w:vAlign w:val="center"/>
          </w:tcPr>
          <w:p>
            <w:pPr>
              <w:jc w:val="right"/>
              <w:bidi w:val="1"/>
            </w:pPr>
            <w:r/>
            <w:r>
              <w:rPr>
                <w:rFonts w:ascii="Arial" w:hAnsi="Arial" w:cs="Arial"/>
                <w:sz w:val="17"/>
              </w:rPr>
              <w:t>مراجع تركي متحدث أصلي</w:t>
            </w:r>
          </w:p>
        </w:tc>
        <w:tc>
          <w:tcPr>
            <w:tcW w:type="dxa" w:w="2606"/>
            <w:vAlign w:val="center"/>
          </w:tcPr>
          <w:p>
            <w:pPr>
              <w:jc w:val="right"/>
              <w:bidi w:val="1"/>
            </w:pPr>
            <w:r/>
            <w:r>
              <w:rPr>
                <w:rFonts w:ascii="Arial" w:hAnsi="Arial" w:cs="Arial"/>
                <w:sz w:val="17"/>
              </w:rPr>
              <w:t>مفتوح</w:t>
            </w:r>
          </w:p>
        </w:tc>
        <w:tc>
          <w:tcPr>
            <w:tcW w:type="dxa" w:w="2606"/>
            <w:vAlign w:val="center"/>
          </w:tcPr>
          <w:p>
            <w:pPr>
              <w:jc w:val="right"/>
              <w:bidi w:val="1"/>
            </w:pPr>
            <w:r/>
            <w:r>
              <w:rPr>
                <w:rFonts w:ascii="Arial" w:hAnsi="Arial" w:cs="Arial"/>
                <w:sz w:val="17"/>
              </w:rPr>
              <w:t>إغلاق Sprint 2</w:t>
            </w:r>
          </w:p>
        </w:tc>
      </w:tr>
      <w:tr>
        <w:tc>
          <w:tcPr>
            <w:tcW w:type="dxa" w:w="2606"/>
            <w:vAlign w:val="center"/>
          </w:tcPr>
          <w:p>
            <w:pPr>
              <w:jc w:val="right"/>
              <w:bidi w:val="1"/>
            </w:pPr>
            <w:r/>
            <w:r>
              <w:rPr>
                <w:rFonts w:ascii="Arial" w:hAnsi="Arial" w:cs="Arial"/>
                <w:sz w:val="17"/>
              </w:rPr>
              <w:t>D5</w:t>
            </w:r>
          </w:p>
        </w:tc>
        <w:tc>
          <w:tcPr>
            <w:tcW w:type="dxa" w:w="2606"/>
            <w:vAlign w:val="center"/>
          </w:tcPr>
          <w:p>
            <w:pPr>
              <w:jc w:val="right"/>
              <w:bidi w:val="1"/>
            </w:pPr>
            <w:r/>
            <w:r>
              <w:rPr>
                <w:rFonts w:ascii="Arial" w:hAnsi="Arial" w:cs="Arial"/>
                <w:sz w:val="17"/>
              </w:rPr>
              <w:t>المدينة التي ستُذكر علنًا</w:t>
            </w:r>
          </w:p>
        </w:tc>
        <w:tc>
          <w:tcPr>
            <w:tcW w:type="dxa" w:w="2606"/>
            <w:vAlign w:val="center"/>
          </w:tcPr>
          <w:p>
            <w:pPr>
              <w:jc w:val="right"/>
              <w:bidi w:val="1"/>
            </w:pPr>
            <w:r/>
            <w:r>
              <w:rPr>
                <w:rFonts w:ascii="Arial" w:hAnsi="Arial" w:cs="Arial"/>
                <w:sz w:val="17"/>
              </w:rPr>
              <w:t>محسوم — Aksaray</w:t>
            </w:r>
          </w:p>
        </w:tc>
        <w:tc>
          <w:tcPr>
            <w:tcW w:type="dxa" w:w="2606"/>
            <w:vAlign w:val="center"/>
          </w:tcPr>
          <w:p>
            <w:pPr>
              <w:jc w:val="right"/>
              <w:bidi w:val="1"/>
            </w:pPr>
            <w:r/>
            <w:r>
              <w:rPr>
                <w:rFonts w:ascii="Arial" w:hAnsi="Arial" w:cs="Arial"/>
                <w:sz w:val="17"/>
              </w:rPr>
              <w:t>—</w:t>
            </w:r>
          </w:p>
        </w:tc>
      </w:tr>
    </w:tbl>
    <w:p/>
    <w:p>
      <w:pPr>
        <w:jc w:val="right"/>
        <w:bidi w:val="1"/>
      </w:pPr>
      <w:r>
        <w:rPr>
          <w:rFonts w:ascii="Arial" w:hAnsi="Arial" w:cs="Arial"/>
          <w:b w:val="0"/>
        </w:rPr>
        <w:t>D5 محسوم: الموقع يذكر Aksaray. كلمات Geo التركية تستهدف Aksaray yazılım geliştirici، ولا يتم ادعاء أنقرة كموقع. إذا كان العمل عن بُعد أو الوظائف في أنقرة مقبولة، فالصياغة الصادقة هي: «مقيم في أق سراي — متاح للعمل عن بُعد وللفرص في أنقرة»، وبذلك تبقى كلمة أنقرة موجودة دون تحريف مكان الإقامة.</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F37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375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37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