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 w:val="1"/>
      </w:pPr>
      <w:r>
        <w:rPr>
          <w:b/>
          <w:sz w:val="44"/>
        </w:rPr>
        <w:t>03 — قائمة الميزات</w:t>
      </w:r>
    </w:p>
    <w:p>
      <w:pPr>
        <w:jc w:val="right"/>
        <w:bidi w:val="1"/>
      </w:pPr>
      <w:r>
        <w:t>النطاق: الإصدار v1 فقط. أي شيء غير مذكور تحت §1 يتطلب تغييرًا صريحًا في نطاق المشروع.</w:t>
      </w:r>
    </w:p>
    <w:p>
      <w:pPr>
        <w:jc w:val="right"/>
        <w:bidi w:val="1"/>
      </w:pPr>
      <w:r>
        <w:t>الحالة: مسودة — القسم §1.3 يعتمد على D2/D3 (إتاحة المستودعات).</w:t>
      </w:r>
    </w:p>
    <w:p>
      <w:pPr>
        <w:jc w:val="right"/>
        <w:bidi w:val="1"/>
      </w:pPr>
      <w:r>
        <w:rPr>
          <w:b/>
          <w:sz w:val="30"/>
        </w:rPr>
        <w:t>0. كيف تُقرأ هذه الوثيقة</w:t>
      </w:r>
    </w:p>
    <w:p>
      <w:pPr>
        <w:jc w:val="right"/>
        <w:bidi w:val="1"/>
      </w:pPr>
      <w:r>
        <w:t>الميزات هنا هي قدرات يراها المستخدم. تم عمدًا عدم إدراج SEO والأداء وإمكانية الوصول وصحة i18n كميزات؛ فهي متطلبات في 04-srs.md وبوابات في 08-sprint-plans.md.</w:t>
      </w:r>
    </w:p>
    <w:p>
      <w:pPr>
        <w:jc w:val="right"/>
        <w:bidi w:val="1"/>
      </w:pPr>
      <w:r>
        <w:t>هذا الفصل مقصود: قائمة الميزات هي أول ما يُختصر تحت ضغط الوقت، بينما المتطلب المرتبط ببوابة قبول ليس كذلك. وضع hreflang في قائمة ميزات هو الطريق المعتاد لتأجيله إلى نسخة قد لا تصدر.</w:t>
      </w:r>
    </w:p>
    <w:p>
      <w:pPr>
        <w:jc w:val="right"/>
        <w:bidi w:val="1"/>
      </w:pPr>
      <w:r>
        <w:rPr>
          <w:b/>
          <w:sz w:val="30"/>
        </w:rPr>
        <w:t>1. الإصدار v1 — يجب إطلاقه</w:t>
      </w:r>
    </w:p>
    <w:p>
      <w:pPr>
        <w:jc w:val="right"/>
        <w:bidi w:val="1"/>
      </w:pPr>
      <w:r>
        <w:rPr>
          <w:b/>
          <w:sz w:val="25"/>
        </w:rPr>
        <w:t>1.1 على مستوى الموقع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/>
                <w:sz w:val="17"/>
              </w:rPr>
              <w:t>الميزة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/>
                <w:sz w:val="17"/>
              </w:rPr>
              <w:t>ملاحظات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F-01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ثلاث لغات: EN افتراضية، TR، AR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حسب المسار: /en و/tr و/ar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F-02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مبدّل اللغة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يبقى في الصفحة المكافئة؛ لا يعيد المستخدم إلى الرئيسية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F-03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RTL كامل للعربية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عكس التخطيط لا قلب CSS — راجع 06-mockups.md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F-04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الوضع الداكن/الفاتح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يحترم prefers-color-scheme ويحفظ الاختيار اليدوي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F-05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تصميم متجاوب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Mobile-first؛ أقل عرض 320px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F-06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Header مع التنقل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أربعة روابط + مبدّل اللغة + مبدّل الثيم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F-07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Footer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البريد، GitHub، LinkedIn، حقوق النشر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F-08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صفحة 404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مترجمة وتعيد المستخدم إلى الموقع</w:t>
            </w:r>
          </w:p>
        </w:tc>
      </w:tr>
    </w:tbl>
    <w:p/>
    <w:p>
      <w:pPr>
        <w:jc w:val="right"/>
        <w:bidi w:val="1"/>
      </w:pPr>
      <w:r>
        <w:rPr>
          <w:b/>
          <w:sz w:val="25"/>
        </w:rPr>
        <w:t>1.2 الصفحة الرئيسية Home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/>
                <w:sz w:val="17"/>
              </w:rPr>
              <w:t>الميزة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/>
                <w:sz w:val="17"/>
              </w:rPr>
              <w:t>ملاحظات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F-10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عبارة التموضع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سطر واحد: مطور Backend وتطبيقات سطح المكتب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F-11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مقدمة قصيرة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2–3 جمل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F-12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قائمة التقنيات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نص عادي لا صور شعارات؛ النص قابل للفهرسة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F-13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بطاقتا مشروع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ترتبطان بـ /projects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F-14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CTA أساسي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يرتبط بـ /contact</w:t>
            </w:r>
          </w:p>
        </w:tc>
      </w:tr>
    </w:tbl>
    <w:p/>
    <w:p>
      <w:pPr>
        <w:jc w:val="right"/>
        <w:bidi w:val="1"/>
      </w:pPr>
      <w:r>
        <w:t>لا Hero image ولا Carousel ولا فيديو خلفية. كل واحد منها يضيف كلفة مباشرة على LCP، وLCP بوابة (G4). إذا أُريد عنصر بصري فيجب أن يبقى ضمن ميزانية الأداء.</w:t>
      </w:r>
    </w:p>
    <w:p>
      <w:pPr>
        <w:jc w:val="right"/>
        <w:bidi w:val="1"/>
      </w:pPr>
      <w:r>
        <w:rPr>
          <w:b/>
          <w:sz w:val="25"/>
        </w:rPr>
        <w:t>1.3 المشاريع Projects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/>
                <w:sz w:val="17"/>
              </w:rPr>
              <w:t>الميزة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/>
                <w:sz w:val="17"/>
              </w:rPr>
              <w:t>ملاحظات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F-20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بطاقة AI Autonomous Workspace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المشروع الرئيسي: المشكلة · Stack · قرار معماري مسمى · نتيجة مقاسة · حالة «قيد التطوير» صريحة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F-21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بطاقة Restaurant Management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المشكلة · Stack · معمارية ثلاث طبقات · 37 stored procedures · واجهة عربية RTL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F-22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روابط المستودعات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محجوبة بـ D2/D3؛ رابط private يؤدي إلى 404 وأسوأ من عدم وجود رابط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F-23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وسوم تقنيات لكل مشروع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نصية وقابلة للفهرسة</w:t>
            </w:r>
          </w:p>
        </w:tc>
      </w:tr>
    </w:tbl>
    <w:p/>
    <w:p>
      <w:pPr>
        <w:jc w:val="right"/>
        <w:bidi w:val="1"/>
      </w:pPr>
      <w:r>
        <w:t>قاعدة محتوى F-20: اذكر النتيجة المقاسة — فهرسة PDF من 35 صفحة end-to-end خلال 32.6 ثانية على Stack ذاتي الاستضافة — واذكر القيد في الجملة نفسها: واجهة المساعد في Sprint 3 من 7. ادعاء منتج AI مكتمل يفتح باب تدقيق لا يتحمله المشروع بعد؛ أما ادعاء بنية تحتية متحقق منها فهو صحيح وأقوى من أغلب عناصر البورتفوليو.</w:t>
      </w:r>
    </w:p>
    <w:p>
      <w:pPr>
        <w:jc w:val="right"/>
        <w:bidi w:val="1"/>
      </w:pPr>
      <w:r>
        <w:rPr>
          <w:b/>
          <w:sz w:val="25"/>
        </w:rPr>
        <w:t>1.4 نبذة About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/>
                <w:sz w:val="17"/>
              </w:rPr>
              <w:t>الميزة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/>
                <w:sz w:val="17"/>
              </w:rPr>
              <w:t>ملاحظات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F-30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مسار التعلم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تعلم ذاتي: C++ → C# → SQL Server → ASP.NET Core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F-31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خلفية علم النفس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مثال عملي واحد لتأثيرها في قرار تقني، وليس كسردية تغيير مسار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F-32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ما الذي يبحث عنه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Freelance أو Remote أو وظائف محلية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F-33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الموقع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Aksaray, Turkey — متاح عن بُعد وللفرص في أنقرة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F-34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تنزيل CV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PDF مستقل لكل لغة، واسم الملف يحمل التهجئة المعتمدة للاسم</w:t>
            </w:r>
          </w:p>
        </w:tc>
      </w:tr>
    </w:tbl>
    <w:p/>
    <w:p>
      <w:pPr>
        <w:jc w:val="right"/>
        <w:bidi w:val="1"/>
      </w:pPr>
      <w:r>
        <w:rPr>
          <w:b/>
          <w:sz w:val="25"/>
        </w:rPr>
        <w:t>1.5 التواصل Contact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/>
                <w:sz w:val="17"/>
              </w:rPr>
              <w:t>الميزة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/>
                <w:sz w:val="17"/>
              </w:rPr>
              <w:t>ملاحظات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F-40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نموذج تواصل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الاسم، البريد، الرسالة. تحقق Client + Server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F-41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حماية من Spam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Honeypot + rate limiting. لا CAPTCHA لأنها تضر INP وإمكانية الوصول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F-42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البريد كنص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zeyadalnahdii@gmail.com قابل للتحديد والقراءة آليًا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F-43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روابط LinkedIn + GitHub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rel="me" للمساعدة في توحيد كيان الاسم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F-44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توقع زمن الرد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خلال يومي عمل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F-45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حالات النجاح/الخطأ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مترجمة ومعلنة لقارئات الشاشة</w:t>
            </w:r>
          </w:p>
        </w:tc>
      </w:tr>
    </w:tbl>
    <w:p/>
    <w:p>
      <w:pPr>
        <w:jc w:val="right"/>
        <w:bidi w:val="1"/>
      </w:pPr>
      <w:r>
        <w:rPr>
          <w:b/>
          <w:sz w:val="30"/>
        </w:rPr>
        <w:t>2. مستبعد صراحة من v1</w:t>
      </w:r>
    </w:p>
    <w:p>
      <w:pPr>
        <w:jc w:val="right"/>
        <w:bidi w:val="1"/>
      </w:pPr>
      <w:r>
        <w:t>تُسجل هذه العناصر كي يكون الاستبعاد قرارًا موثقًا لا سهوًا.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jc w:val="right"/>
              <w:bidi w:val="1"/>
            </w:pPr>
            <w:r/>
            <w:r>
              <w:rPr>
                <w:b/>
                <w:sz w:val="17"/>
              </w:rPr>
              <w:t>المستبعد</w:t>
            </w:r>
          </w:p>
        </w:tc>
        <w:tc>
          <w:tcPr>
            <w:tcW w:type="dxa" w:w="5270"/>
          </w:tcPr>
          <w:p>
            <w:pPr>
              <w:jc w:val="right"/>
              <w:bidi w:val="1"/>
            </w:pPr>
            <w:r/>
            <w:r>
              <w:rPr>
                <w:b/>
                <w:sz w:val="17"/>
              </w:rPr>
              <w:t>السبب</w:t>
            </w:r>
          </w:p>
        </w:tc>
      </w:tr>
      <w:tr>
        <w:tc>
          <w:tcPr>
            <w:tcW w:type="dxa" w:w="5270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Blog / CMS</w:t>
            </w:r>
          </w:p>
        </w:tc>
        <w:tc>
          <w:tcPr>
            <w:tcW w:type="dxa" w:w="5270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قرار المالك. يعاد النظر بعد الإطلاق؛ وهو الرافعة الأساسية للزيارات خارج استعلام الاسم</w:t>
            </w:r>
          </w:p>
        </w:tc>
      </w:tr>
      <w:tr>
        <w:tc>
          <w:tcPr>
            <w:tcW w:type="dxa" w:w="5270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صفحات تفصيلية لكل مشروع</w:t>
            </w:r>
          </w:p>
        </w:tc>
        <w:tc>
          <w:tcPr>
            <w:tcW w:type="dxa" w:w="5270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مشروعان لا يبرران ستة مسارات إضافية؛ البطاقات كافية</w:t>
            </w:r>
          </w:p>
        </w:tc>
      </w:tr>
      <w:tr>
        <w:tc>
          <w:tcPr>
            <w:tcW w:type="dxa" w:w="5270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Analytics dashboard</w:t>
            </w:r>
          </w:p>
        </w:tc>
        <w:tc>
          <w:tcPr>
            <w:tcW w:type="dxa" w:w="5270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Search Console كافٍ لأهداف v1</w:t>
            </w:r>
          </w:p>
        </w:tc>
      </w:tr>
      <w:tr>
        <w:tc>
          <w:tcPr>
            <w:tcW w:type="dxa" w:w="5270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التعليقات وNewsletter</w:t>
            </w:r>
          </w:p>
        </w:tc>
        <w:tc>
          <w:tcPr>
            <w:tcW w:type="dxa" w:w="5270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لا يوجد جمهور يحتاجها بعد</w:t>
            </w:r>
          </w:p>
        </w:tc>
      </w:tr>
      <w:tr>
        <w:tc>
          <w:tcPr>
            <w:tcW w:type="dxa" w:w="5270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لغات إضافية</w:t>
            </w:r>
          </w:p>
        </w:tc>
        <w:tc>
          <w:tcPr>
            <w:tcW w:type="dxa" w:w="5270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ثلاث لغات هي الجزء الصعب أصلًا</w:t>
            </w:r>
          </w:p>
        </w:tc>
      </w:tr>
      <w:tr>
        <w:tc>
          <w:tcPr>
            <w:tcW w:type="dxa" w:w="5270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WhatsApp</w:t>
            </w:r>
          </w:p>
        </w:tc>
        <w:tc>
          <w:tcPr>
            <w:tcW w:type="dxa" w:w="5270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F-46 مؤجل؛ رقم الهاتف غير متوفر</w:t>
            </w:r>
          </w:p>
        </w:tc>
      </w:tr>
      <w:tr>
        <w:tc>
          <w:tcPr>
            <w:tcW w:type="dxa" w:w="5270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Animations تتجاوز CSS transitions</w:t>
            </w:r>
          </w:p>
        </w:tc>
        <w:tc>
          <w:tcPr>
            <w:tcW w:type="dxa" w:w="5270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تكلفة على INP وCLS بلا مكسب قابل للقياس</w:t>
            </w:r>
          </w:p>
        </w:tc>
      </w:tr>
    </w:tbl>
    <w:p/>
    <w:p>
      <w:pPr>
        <w:jc w:val="right"/>
        <w:bidi w:val="1"/>
      </w:pPr>
      <w:r>
        <w:rPr>
          <w:b/>
          <w:sz w:val="30"/>
        </w:rPr>
        <w:t>3. مؤجل — مرشح لـ v1.1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/>
                <w:sz w:val="17"/>
              </w:rPr>
              <w:t>الميزة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/>
                <w:sz w:val="17"/>
              </w:rPr>
              <w:t>متى يعاد النظر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F-46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رابط WhatsApp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عند توفر رقم الهاتف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F-50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Blog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بعد الإطلاق إذا التزم المالك بالكتابة المنتظمة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F-51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صفحات تفاصيل المشاريع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عند إطلاق مشروع ثالث أو حاجة مشروع إلى Case Study كاملة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F-52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Screenshots / Demo video للمشروع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إذا بقيت المستودعات private، فتصبح الدليل الوحيد المتبقي</w:t>
            </w:r>
          </w:p>
        </w:tc>
      </w:tr>
    </w:tbl>
    <w:p/>
    <w:p>
      <w:pPr>
        <w:jc w:val="right"/>
        <w:bidi w:val="1"/>
      </w:pPr>
      <w:r>
        <w:t>F-52 هو البديل الاحتياطي لـ D3. إذا عاد ai-autonomous-workspace إلى private، يصبح الدليل البصري إلزاميًا وينتقل إلى v1.</w:t>
      </w:r>
    </w:p>
    <w:p>
      <w:pPr>
        <w:jc w:val="right"/>
        <w:bidi w:val="1"/>
      </w:pPr>
      <w:r>
        <w:rPr>
          <w:b/>
          <w:sz w:val="30"/>
        </w:rPr>
        <w:t>4. الاعتماديات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jc w:val="right"/>
              <w:bidi w:val="1"/>
            </w:pPr>
            <w:r/>
            <w:r>
              <w:rPr>
                <w:b/>
                <w:sz w:val="17"/>
              </w:rPr>
              <w:t>الميزة</w:t>
            </w:r>
          </w:p>
        </w:tc>
        <w:tc>
          <w:tcPr>
            <w:tcW w:type="dxa" w:w="5270"/>
          </w:tcPr>
          <w:p>
            <w:pPr>
              <w:jc w:val="right"/>
              <w:bidi w:val="1"/>
            </w:pPr>
            <w:r/>
            <w:r>
              <w:rPr>
                <w:b/>
                <w:sz w:val="17"/>
              </w:rPr>
              <w:t>محجوبة بواسطة</w:t>
            </w:r>
          </w:p>
        </w:tc>
      </w:tr>
      <w:tr>
        <w:tc>
          <w:tcPr>
            <w:tcW w:type="dxa" w:w="5270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F-22</w:t>
            </w:r>
          </w:p>
        </w:tc>
        <w:tc>
          <w:tcPr>
            <w:tcW w:type="dxa" w:w="5270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D2 / D3 — إتاحة المستودعات</w:t>
            </w:r>
          </w:p>
        </w:tc>
      </w:tr>
      <w:tr>
        <w:tc>
          <w:tcPr>
            <w:tcW w:type="dxa" w:w="5270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F-34</w:t>
            </w:r>
          </w:p>
        </w:tc>
        <w:tc>
          <w:tcPr>
            <w:tcW w:type="dxa" w:w="5270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محتوى CV مكتوب باللغات الثلاث</w:t>
            </w:r>
          </w:p>
        </w:tc>
      </w:tr>
      <w:tr>
        <w:tc>
          <w:tcPr>
            <w:tcW w:type="dxa" w:w="5270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F-40</w:t>
            </w:r>
          </w:p>
        </w:tc>
        <w:tc>
          <w:tcPr>
            <w:tcW w:type="dxa" w:w="5270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اختيار طريقة معالجة النموذج — راجع 04-srs.md §7</w:t>
            </w:r>
          </w:p>
        </w:tc>
      </w:tr>
      <w:tr>
        <w:tc>
          <w:tcPr>
            <w:tcW w:type="dxa" w:w="5270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كل Metadata</w:t>
            </w:r>
          </w:p>
        </w:tc>
        <w:tc>
          <w:tcPr>
            <w:tcW w:type="dxa" w:w="5270"/>
          </w:tcPr>
          <w:p>
            <w:pPr>
              <w:jc w:val="right"/>
              <w:bidi w:val="1"/>
            </w:pPr>
            <w:r/>
            <w:r>
              <w:rPr>
                <w:b w:val="0"/>
                <w:sz w:val="17"/>
              </w:rPr>
              <w:t>D1 — الدومين، مطلوب للـ canonical URLs المطلقة</w:t>
            </w:r>
          </w:p>
        </w:tc>
      </w:tr>
    </w:tbl>
    <w:p/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cs="Arial"/>
    </w:rPr>
  </w:style>
  <w:style w:type="table" w:default="1" w:styleId="TableNormal">
    <w:name w:val="Normal Table"/>
    <w:uiPriority w:val="99"/>
    <w:semiHidden/>
    <w:unhideWhenUsed/>
    <w:rPr>
      <w:rFonts w:ascii="Arial" w:hAnsi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cs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cs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cs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cs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cs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cs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cs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cs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cs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