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rPr>
          <w:b/>
          <w:sz w:val="44"/>
        </w:rPr>
        <w:t>06 — النماذج الأولية ومواصفات التصميم</w:t>
      </w:r>
    </w:p>
    <w:p>
      <w:pPr>
        <w:jc w:val="right"/>
        <w:bidi w:val="1"/>
      </w:pPr>
      <w:r>
        <w:t>الحالة: مسودة — تم تحديد الـ Wireframes وDesign Tokens، بينما التصميم البصري النهائي لم يبدأ بعد.</w:t>
      </w:r>
    </w:p>
    <w:p>
      <w:pPr>
        <w:jc w:val="right"/>
        <w:bidi w:val="1"/>
      </w:pPr>
      <w:r>
        <w:t>النطاق: 4 صفحات × اتجاهين (LTR / RTL) × وضعين (فاتح / داكن).</w:t>
      </w:r>
    </w:p>
    <w:p>
      <w:pPr>
        <w:jc w:val="right"/>
        <w:bidi w:val="1"/>
      </w:pPr>
      <w:r>
        <w:rPr>
          <w:b/>
          <w:sz w:val="30"/>
        </w:rPr>
        <w:t>0. ما هذه الوثيقة؟</w:t>
      </w:r>
    </w:p>
    <w:p>
      <w:pPr>
        <w:jc w:val="right"/>
        <w:bidi w:val="1"/>
      </w:pPr>
      <w:r>
        <w:t>هذه الوثيقة تحدد البنية منخفضة الدقة، وDesign Tokens، والقيود التي تفرضها وثيقة SRS على التصميم البصري. وهي ليست تصميمًا نهائيًا على مستوى البكسل. الهدف منها هو اتخاذ قرارات التخطيط التي تؤثر في CLS وLCP وبنية العناوين قبل التنفيذ، بدل اكتشافها أثناء فحص Lighthouse.</w:t>
      </w:r>
    </w:p>
    <w:p>
      <w:pPr>
        <w:jc w:val="right"/>
        <w:bidi w:val="1"/>
      </w:pPr>
      <w:r>
        <w:t>ثلاثة قيود من 04-srs.md تشكل كل شاشة:</w:t>
      </w:r>
    </w:p>
    <w:tbl>
      <w:tblPr>
        <w:tblStyle w:val="TableGrid"/>
        <w:tblW w:type="auto" w:w="0"/>
        <w:jc w:val="right"/>
        <w:tblLook w:firstColumn="1" w:firstRow="1" w:lastColumn="0" w:lastRow="0" w:noHBand="0" w:noVBand="1" w:val="04A0"/>
      </w:tblPr>
      <w:tblGrid>
        <w:gridCol w:w="5270"/>
        <w:gridCol w:w="5270"/>
      </w:tblGrid>
      <w:tr>
        <w:tc>
          <w:tcPr>
            <w:tcW w:type="dxa" w:w="5270"/>
          </w:tcPr>
          <w:p>
            <w:pPr>
              <w:jc w:val="right"/>
              <w:bidi w:val="1"/>
            </w:pPr>
            <w:r/>
            <w:r>
              <w:rPr>
                <w:b/>
                <w:sz w:val="17"/>
              </w:rPr>
              <w:t>القيد</w:t>
            </w:r>
          </w:p>
        </w:tc>
        <w:tc>
          <w:tcPr>
            <w:tcW w:type="dxa" w:w="5270"/>
          </w:tcPr>
          <w:p>
            <w:pPr>
              <w:jc w:val="right"/>
              <w:bidi w:val="1"/>
            </w:pPr>
            <w:r/>
            <w:r>
              <w:rPr>
                <w:b/>
                <w:sz w:val="17"/>
              </w:rPr>
              <w:t>أثره على التصميم</w:t>
            </w:r>
          </w:p>
        </w:tc>
      </w:tr>
      <w:tr>
        <w:tc>
          <w:tcPr>
            <w:tcW w:type="dxa" w:w="5270"/>
          </w:tcPr>
          <w:p>
            <w:pPr>
              <w:jc w:val="right"/>
              <w:bidi w:val="1"/>
            </w:pPr>
            <w:r/>
            <w:r>
              <w:rPr>
                <w:b w:val="0"/>
                <w:sz w:val="17"/>
              </w:rPr>
              <w:t>P-02 — CLS &lt; 0.1</w:t>
            </w:r>
          </w:p>
        </w:tc>
        <w:tc>
          <w:tcPr>
            <w:tcW w:type="dxa" w:w="5270"/>
          </w:tcPr>
          <w:p>
            <w:pPr>
              <w:jc w:val="right"/>
              <w:bidi w:val="1"/>
            </w:pPr>
            <w:r/>
            <w:r>
              <w:rPr>
                <w:b w:val="0"/>
                <w:sz w:val="17"/>
              </w:rPr>
              <w:t>كل صورة أو Embed أو عنصر يتأخر تحميله يحتاج مساحة محجوزة بأبعاد ثابتة تُحدد وقت التصميم.</w:t>
            </w:r>
          </w:p>
        </w:tc>
      </w:tr>
      <w:tr>
        <w:tc>
          <w:tcPr>
            <w:tcW w:type="dxa" w:w="5270"/>
          </w:tcPr>
          <w:p>
            <w:pPr>
              <w:jc w:val="right"/>
              <w:bidi w:val="1"/>
            </w:pPr>
            <w:r/>
            <w:r>
              <w:rPr>
                <w:b w:val="0"/>
                <w:sz w:val="17"/>
              </w:rPr>
              <w:t>P-01 — LCP &lt; 2.5s</w:t>
            </w:r>
          </w:p>
        </w:tc>
        <w:tc>
          <w:tcPr>
            <w:tcW w:type="dxa" w:w="5270"/>
          </w:tcPr>
          <w:p>
            <w:pPr>
              <w:jc w:val="right"/>
              <w:bidi w:val="1"/>
            </w:pPr>
            <w:r/>
            <w:r>
              <w:rPr>
                <w:b w:val="0"/>
                <w:sz w:val="17"/>
              </w:rPr>
              <w:t>لا Hero image ولا Carousel ولا Background video. عنصر LCP المفترض أن يكون نصًا.</w:t>
            </w:r>
          </w:p>
        </w:tc>
      </w:tr>
      <w:tr>
        <w:tc>
          <w:tcPr>
            <w:tcW w:type="dxa" w:w="5270"/>
          </w:tcPr>
          <w:p>
            <w:pPr>
              <w:jc w:val="right"/>
              <w:bidi w:val="1"/>
            </w:pPr>
            <w:r/>
            <w:r>
              <w:rPr>
                <w:b w:val="0"/>
                <w:sz w:val="17"/>
              </w:rPr>
              <w:t>M-09/M-10 — بنية العناوين</w:t>
            </w:r>
          </w:p>
        </w:tc>
        <w:tc>
          <w:tcPr>
            <w:tcW w:type="dxa" w:w="5270"/>
          </w:tcPr>
          <w:p>
            <w:pPr>
              <w:jc w:val="right"/>
              <w:bidi w:val="1"/>
            </w:pPr>
            <w:r/>
            <w:r>
              <w:rPr>
                <w:b w:val="0"/>
                <w:sz w:val="17"/>
              </w:rPr>
              <w:t>التسلسل البصري يجب أن يطابق h1 → h2 → h3 صالحًا، ومحددًا على كل شاشة.</w:t>
            </w:r>
          </w:p>
        </w:tc>
      </w:tr>
    </w:tbl>
    <w:p/>
    <w:p>
      <w:pPr>
        <w:jc w:val="right"/>
        <w:bidi w:val="1"/>
      </w:pPr>
      <w:r>
        <w:rPr>
          <w:b/>
          <w:sz w:val="30"/>
        </w:rPr>
        <w:t>1. Design Tokens</w:t>
      </w:r>
    </w:p>
    <w:p>
      <w:pPr>
        <w:jc w:val="right"/>
        <w:bidi w:val="1"/>
      </w:pPr>
      <w:r>
        <w:rPr>
          <w:b/>
          <w:sz w:val="25"/>
        </w:rPr>
        <w:t>1.1 الألوان</w:t>
      </w:r>
    </w:p>
    <w:p>
      <w:pPr>
        <w:jc w:val="right"/>
        <w:bidi w:val="1"/>
      </w:pPr>
      <w:r>
        <w:t>تُعرّف كـ CSS custom properties على :root، ثم يعاد تعريفها للوضع الداكن. يجب أن يحقق الوضعان بصورة مستقلة A-03: تباين 4.5:1 للنص العادي و3:1 للنص الكبير.</w:t>
      </w:r>
    </w:p>
    <w:tbl>
      <w:tblPr>
        <w:tblStyle w:val="TableGrid"/>
        <w:tblW w:type="auto" w:w="0"/>
        <w:jc w:val="right"/>
        <w:tblLook w:firstColumn="1" w:firstRow="1" w:lastColumn="0" w:lastRow="0" w:noHBand="0" w:noVBand="1" w:val="04A0"/>
      </w:tblPr>
      <w:tblGrid>
        <w:gridCol w:w="2635"/>
        <w:gridCol w:w="2635"/>
        <w:gridCol w:w="2635"/>
        <w:gridCol w:w="2635"/>
      </w:tblGrid>
      <w:tr>
        <w:tc>
          <w:tcPr>
            <w:tcW w:type="dxa" w:w="2635"/>
          </w:tcPr>
          <w:p>
            <w:pPr>
              <w:jc w:val="right"/>
              <w:bidi w:val="1"/>
            </w:pPr>
            <w:r/>
            <w:r>
              <w:rPr>
                <w:b/>
                <w:sz w:val="17"/>
              </w:rPr>
              <w:t>Token</w:t>
            </w:r>
          </w:p>
        </w:tc>
        <w:tc>
          <w:tcPr>
            <w:tcW w:type="dxa" w:w="2635"/>
          </w:tcPr>
          <w:p>
            <w:pPr>
              <w:jc w:val="right"/>
              <w:bidi w:val="1"/>
            </w:pPr>
            <w:r/>
            <w:r>
              <w:rPr>
                <w:b/>
                <w:sz w:val="17"/>
              </w:rPr>
              <w:t>فاتح</w:t>
            </w:r>
          </w:p>
        </w:tc>
        <w:tc>
          <w:tcPr>
            <w:tcW w:type="dxa" w:w="2635"/>
          </w:tcPr>
          <w:p>
            <w:pPr>
              <w:jc w:val="right"/>
              <w:bidi w:val="1"/>
            </w:pPr>
            <w:r/>
            <w:r>
              <w:rPr>
                <w:b/>
                <w:sz w:val="17"/>
              </w:rPr>
              <w:t>داكن</w:t>
            </w:r>
          </w:p>
        </w:tc>
        <w:tc>
          <w:tcPr>
            <w:tcW w:type="dxa" w:w="2635"/>
          </w:tcPr>
          <w:p>
            <w:pPr>
              <w:jc w:val="right"/>
              <w:bidi w:val="1"/>
            </w:pPr>
            <w:r/>
            <w:r>
              <w:rPr>
                <w:b/>
                <w:sz w:val="17"/>
              </w:rPr>
              <w:t>الاستخدام</w:t>
            </w:r>
          </w:p>
        </w:tc>
      </w:tr>
      <w:tr>
        <w:tc>
          <w:tcPr>
            <w:tcW w:type="dxa" w:w="2635"/>
          </w:tcPr>
          <w:p>
            <w:pPr>
              <w:jc w:val="right"/>
              <w:bidi w:val="1"/>
            </w:pPr>
            <w:r/>
            <w:r>
              <w:rPr>
                <w:b w:val="0"/>
                <w:sz w:val="17"/>
              </w:rPr>
              <w:t>--bg</w:t>
            </w:r>
          </w:p>
        </w:tc>
        <w:tc>
          <w:tcPr>
            <w:tcW w:type="dxa" w:w="2635"/>
          </w:tcPr>
          <w:p>
            <w:pPr>
              <w:jc w:val="right"/>
              <w:bidi w:val="1"/>
            </w:pPr>
            <w:r/>
            <w:r>
              <w:rPr>
                <w:b w:val="0"/>
                <w:sz w:val="17"/>
              </w:rPr>
              <w:t>#ffffff</w:t>
            </w:r>
          </w:p>
        </w:tc>
        <w:tc>
          <w:tcPr>
            <w:tcW w:type="dxa" w:w="2635"/>
          </w:tcPr>
          <w:p>
            <w:pPr>
              <w:jc w:val="right"/>
              <w:bidi w:val="1"/>
            </w:pPr>
            <w:r/>
            <w:r>
              <w:rPr>
                <w:b w:val="0"/>
                <w:sz w:val="17"/>
              </w:rPr>
              <w:t>#0d1117</w:t>
            </w:r>
          </w:p>
        </w:tc>
        <w:tc>
          <w:tcPr>
            <w:tcW w:type="dxa" w:w="2635"/>
          </w:tcPr>
          <w:p>
            <w:pPr>
              <w:jc w:val="right"/>
              <w:bidi w:val="1"/>
            </w:pPr>
            <w:r/>
            <w:r>
              <w:rPr>
                <w:b w:val="0"/>
                <w:sz w:val="17"/>
              </w:rPr>
              <w:t>خلفية الصفحة</w:t>
            </w:r>
          </w:p>
        </w:tc>
      </w:tr>
      <w:tr>
        <w:tc>
          <w:tcPr>
            <w:tcW w:type="dxa" w:w="2635"/>
          </w:tcPr>
          <w:p>
            <w:pPr>
              <w:jc w:val="right"/>
              <w:bidi w:val="1"/>
            </w:pPr>
            <w:r/>
            <w:r>
              <w:rPr>
                <w:b w:val="0"/>
                <w:sz w:val="17"/>
              </w:rPr>
              <w:t>--surface</w:t>
            </w:r>
          </w:p>
        </w:tc>
        <w:tc>
          <w:tcPr>
            <w:tcW w:type="dxa" w:w="2635"/>
          </w:tcPr>
          <w:p>
            <w:pPr>
              <w:jc w:val="right"/>
              <w:bidi w:val="1"/>
            </w:pPr>
            <w:r/>
            <w:r>
              <w:rPr>
                <w:b w:val="0"/>
                <w:sz w:val="17"/>
              </w:rPr>
              <w:t>#f6f8fa</w:t>
            </w:r>
          </w:p>
        </w:tc>
        <w:tc>
          <w:tcPr>
            <w:tcW w:type="dxa" w:w="2635"/>
          </w:tcPr>
          <w:p>
            <w:pPr>
              <w:jc w:val="right"/>
              <w:bidi w:val="1"/>
            </w:pPr>
            <w:r/>
            <w:r>
              <w:rPr>
                <w:b w:val="0"/>
                <w:sz w:val="17"/>
              </w:rPr>
              <w:t>#161b22</w:t>
            </w:r>
          </w:p>
        </w:tc>
        <w:tc>
          <w:tcPr>
            <w:tcW w:type="dxa" w:w="2635"/>
          </w:tcPr>
          <w:p>
            <w:pPr>
              <w:jc w:val="right"/>
              <w:bidi w:val="1"/>
            </w:pPr>
            <w:r/>
            <w:r>
              <w:rPr>
                <w:b w:val="0"/>
                <w:sz w:val="17"/>
              </w:rPr>
              <w:t>البطاقات</w:t>
            </w:r>
          </w:p>
        </w:tc>
      </w:tr>
      <w:tr>
        <w:tc>
          <w:tcPr>
            <w:tcW w:type="dxa" w:w="2635"/>
          </w:tcPr>
          <w:p>
            <w:pPr>
              <w:jc w:val="right"/>
              <w:bidi w:val="1"/>
            </w:pPr>
            <w:r/>
            <w:r>
              <w:rPr>
                <w:b w:val="0"/>
                <w:sz w:val="17"/>
              </w:rPr>
              <w:t>--border</w:t>
            </w:r>
          </w:p>
        </w:tc>
        <w:tc>
          <w:tcPr>
            <w:tcW w:type="dxa" w:w="2635"/>
          </w:tcPr>
          <w:p>
            <w:pPr>
              <w:jc w:val="right"/>
              <w:bidi w:val="1"/>
            </w:pPr>
            <w:r/>
            <w:r>
              <w:rPr>
                <w:b w:val="0"/>
                <w:sz w:val="17"/>
              </w:rPr>
              <w:t>#d8dee4</w:t>
            </w:r>
          </w:p>
        </w:tc>
        <w:tc>
          <w:tcPr>
            <w:tcW w:type="dxa" w:w="2635"/>
          </w:tcPr>
          <w:p>
            <w:pPr>
              <w:jc w:val="right"/>
              <w:bidi w:val="1"/>
            </w:pPr>
            <w:r/>
            <w:r>
              <w:rPr>
                <w:b w:val="0"/>
                <w:sz w:val="17"/>
              </w:rPr>
              <w:t>#30363d</w:t>
            </w:r>
          </w:p>
        </w:tc>
        <w:tc>
          <w:tcPr>
            <w:tcW w:type="dxa" w:w="2635"/>
          </w:tcPr>
          <w:p>
            <w:pPr>
              <w:jc w:val="right"/>
              <w:bidi w:val="1"/>
            </w:pPr>
            <w:r/>
            <w:r>
              <w:rPr>
                <w:b w:val="0"/>
                <w:sz w:val="17"/>
              </w:rPr>
              <w:t>الفواصل وحدود البطاقات</w:t>
            </w:r>
          </w:p>
        </w:tc>
      </w:tr>
      <w:tr>
        <w:tc>
          <w:tcPr>
            <w:tcW w:type="dxa" w:w="2635"/>
          </w:tcPr>
          <w:p>
            <w:pPr>
              <w:jc w:val="right"/>
              <w:bidi w:val="1"/>
            </w:pPr>
            <w:r/>
            <w:r>
              <w:rPr>
                <w:b w:val="0"/>
                <w:sz w:val="17"/>
              </w:rPr>
              <w:t>--text</w:t>
            </w:r>
          </w:p>
        </w:tc>
        <w:tc>
          <w:tcPr>
            <w:tcW w:type="dxa" w:w="2635"/>
          </w:tcPr>
          <w:p>
            <w:pPr>
              <w:jc w:val="right"/>
              <w:bidi w:val="1"/>
            </w:pPr>
            <w:r/>
            <w:r>
              <w:rPr>
                <w:b w:val="0"/>
                <w:sz w:val="17"/>
              </w:rPr>
              <w:t>#1f2328</w:t>
            </w:r>
          </w:p>
        </w:tc>
        <w:tc>
          <w:tcPr>
            <w:tcW w:type="dxa" w:w="2635"/>
          </w:tcPr>
          <w:p>
            <w:pPr>
              <w:jc w:val="right"/>
              <w:bidi w:val="1"/>
            </w:pPr>
            <w:r/>
            <w:r>
              <w:rPr>
                <w:b w:val="0"/>
                <w:sz w:val="17"/>
              </w:rPr>
              <w:t>#e6edf3</w:t>
            </w:r>
          </w:p>
        </w:tc>
        <w:tc>
          <w:tcPr>
            <w:tcW w:type="dxa" w:w="2635"/>
          </w:tcPr>
          <w:p>
            <w:pPr>
              <w:jc w:val="right"/>
              <w:bidi w:val="1"/>
            </w:pPr>
            <w:r/>
            <w:r>
              <w:rPr>
                <w:b w:val="0"/>
                <w:sz w:val="17"/>
              </w:rPr>
              <w:t>النص الأساسي</w:t>
            </w:r>
          </w:p>
        </w:tc>
      </w:tr>
      <w:tr>
        <w:tc>
          <w:tcPr>
            <w:tcW w:type="dxa" w:w="2635"/>
          </w:tcPr>
          <w:p>
            <w:pPr>
              <w:jc w:val="right"/>
              <w:bidi w:val="1"/>
            </w:pPr>
            <w:r/>
            <w:r>
              <w:rPr>
                <w:b w:val="0"/>
                <w:sz w:val="17"/>
              </w:rPr>
              <w:t>--text-muted</w:t>
            </w:r>
          </w:p>
        </w:tc>
        <w:tc>
          <w:tcPr>
            <w:tcW w:type="dxa" w:w="2635"/>
          </w:tcPr>
          <w:p>
            <w:pPr>
              <w:jc w:val="right"/>
              <w:bidi w:val="1"/>
            </w:pPr>
            <w:r/>
            <w:r>
              <w:rPr>
                <w:b w:val="0"/>
                <w:sz w:val="17"/>
              </w:rPr>
              <w:t>#59636e</w:t>
            </w:r>
          </w:p>
        </w:tc>
        <w:tc>
          <w:tcPr>
            <w:tcW w:type="dxa" w:w="2635"/>
          </w:tcPr>
          <w:p>
            <w:pPr>
              <w:jc w:val="right"/>
              <w:bidi w:val="1"/>
            </w:pPr>
            <w:r/>
            <w:r>
              <w:rPr>
                <w:b w:val="0"/>
                <w:sz w:val="17"/>
              </w:rPr>
              <w:t>#9198a1</w:t>
            </w:r>
          </w:p>
        </w:tc>
        <w:tc>
          <w:tcPr>
            <w:tcW w:type="dxa" w:w="2635"/>
          </w:tcPr>
          <w:p>
            <w:pPr>
              <w:jc w:val="right"/>
              <w:bidi w:val="1"/>
            </w:pPr>
            <w:r/>
            <w:r>
              <w:rPr>
                <w:b w:val="0"/>
                <w:sz w:val="17"/>
              </w:rPr>
              <w:t>النص الثانوي</w:t>
            </w:r>
          </w:p>
        </w:tc>
      </w:tr>
      <w:tr>
        <w:tc>
          <w:tcPr>
            <w:tcW w:type="dxa" w:w="2635"/>
          </w:tcPr>
          <w:p>
            <w:pPr>
              <w:jc w:val="right"/>
              <w:bidi w:val="1"/>
            </w:pPr>
            <w:r/>
            <w:r>
              <w:rPr>
                <w:b w:val="0"/>
                <w:sz w:val="17"/>
              </w:rPr>
              <w:t>--accent</w:t>
            </w:r>
          </w:p>
        </w:tc>
        <w:tc>
          <w:tcPr>
            <w:tcW w:type="dxa" w:w="2635"/>
          </w:tcPr>
          <w:p>
            <w:pPr>
              <w:jc w:val="right"/>
              <w:bidi w:val="1"/>
            </w:pPr>
            <w:r/>
            <w:r>
              <w:rPr>
                <w:b w:val="0"/>
                <w:sz w:val="17"/>
              </w:rPr>
              <w:t>#0969da</w:t>
            </w:r>
          </w:p>
        </w:tc>
        <w:tc>
          <w:tcPr>
            <w:tcW w:type="dxa" w:w="2635"/>
          </w:tcPr>
          <w:p>
            <w:pPr>
              <w:jc w:val="right"/>
              <w:bidi w:val="1"/>
            </w:pPr>
            <w:r/>
            <w:r>
              <w:rPr>
                <w:b w:val="0"/>
                <w:sz w:val="17"/>
              </w:rPr>
              <w:t>#4493f8</w:t>
            </w:r>
          </w:p>
        </w:tc>
        <w:tc>
          <w:tcPr>
            <w:tcW w:type="dxa" w:w="2635"/>
          </w:tcPr>
          <w:p>
            <w:pPr>
              <w:jc w:val="right"/>
              <w:bidi w:val="1"/>
            </w:pPr>
            <w:r/>
            <w:r>
              <w:rPr>
                <w:b w:val="0"/>
                <w:sz w:val="17"/>
              </w:rPr>
              <w:t>الروابط وCTA</w:t>
            </w:r>
          </w:p>
        </w:tc>
      </w:tr>
      <w:tr>
        <w:tc>
          <w:tcPr>
            <w:tcW w:type="dxa" w:w="2635"/>
          </w:tcPr>
          <w:p>
            <w:pPr>
              <w:jc w:val="right"/>
              <w:bidi w:val="1"/>
            </w:pPr>
            <w:r/>
            <w:r>
              <w:rPr>
                <w:b w:val="0"/>
                <w:sz w:val="17"/>
              </w:rPr>
              <w:t>--accent-hover</w:t>
            </w:r>
          </w:p>
        </w:tc>
        <w:tc>
          <w:tcPr>
            <w:tcW w:type="dxa" w:w="2635"/>
          </w:tcPr>
          <w:p>
            <w:pPr>
              <w:jc w:val="right"/>
              <w:bidi w:val="1"/>
            </w:pPr>
            <w:r/>
            <w:r>
              <w:rPr>
                <w:b w:val="0"/>
                <w:sz w:val="17"/>
              </w:rPr>
              <w:t>#0550ae</w:t>
            </w:r>
          </w:p>
        </w:tc>
        <w:tc>
          <w:tcPr>
            <w:tcW w:type="dxa" w:w="2635"/>
          </w:tcPr>
          <w:p>
            <w:pPr>
              <w:jc w:val="right"/>
              <w:bidi w:val="1"/>
            </w:pPr>
            <w:r/>
            <w:r>
              <w:rPr>
                <w:b w:val="0"/>
                <w:sz w:val="17"/>
              </w:rPr>
              <w:t>#6cb6ff</w:t>
            </w:r>
          </w:p>
        </w:tc>
        <w:tc>
          <w:tcPr>
            <w:tcW w:type="dxa" w:w="2635"/>
          </w:tcPr>
          <w:p>
            <w:pPr>
              <w:jc w:val="right"/>
              <w:bidi w:val="1"/>
            </w:pPr>
            <w:r/>
            <w:r>
              <w:rPr>
                <w:b w:val="0"/>
                <w:sz w:val="17"/>
              </w:rPr>
              <w:t>Hover</w:t>
            </w:r>
          </w:p>
        </w:tc>
      </w:tr>
      <w:tr>
        <w:tc>
          <w:tcPr>
            <w:tcW w:type="dxa" w:w="2635"/>
          </w:tcPr>
          <w:p>
            <w:pPr>
              <w:jc w:val="right"/>
              <w:bidi w:val="1"/>
            </w:pPr>
            <w:r/>
            <w:r>
              <w:rPr>
                <w:b w:val="0"/>
                <w:sz w:val="17"/>
              </w:rPr>
              <w:t>--focus</w:t>
            </w:r>
          </w:p>
        </w:tc>
        <w:tc>
          <w:tcPr>
            <w:tcW w:type="dxa" w:w="2635"/>
          </w:tcPr>
          <w:p>
            <w:pPr>
              <w:jc w:val="right"/>
              <w:bidi w:val="1"/>
            </w:pPr>
            <w:r/>
            <w:r>
              <w:rPr>
                <w:b w:val="0"/>
                <w:sz w:val="17"/>
              </w:rPr>
              <w:t>#0969da</w:t>
            </w:r>
          </w:p>
        </w:tc>
        <w:tc>
          <w:tcPr>
            <w:tcW w:type="dxa" w:w="2635"/>
          </w:tcPr>
          <w:p>
            <w:pPr>
              <w:jc w:val="right"/>
              <w:bidi w:val="1"/>
            </w:pPr>
            <w:r/>
            <w:r>
              <w:rPr>
                <w:b w:val="0"/>
                <w:sz w:val="17"/>
              </w:rPr>
              <w:t>#4493f8</w:t>
            </w:r>
          </w:p>
        </w:tc>
        <w:tc>
          <w:tcPr>
            <w:tcW w:type="dxa" w:w="2635"/>
          </w:tcPr>
          <w:p>
            <w:pPr>
              <w:jc w:val="right"/>
              <w:bidi w:val="1"/>
            </w:pPr>
            <w:r/>
            <w:r>
              <w:rPr>
                <w:b w:val="0"/>
                <w:sz w:val="17"/>
              </w:rPr>
              <w:t>Focus ring وفق A-05</w:t>
            </w:r>
          </w:p>
        </w:tc>
      </w:tr>
    </w:tbl>
    <w:p/>
    <w:p>
      <w:pPr>
        <w:jc w:val="right"/>
        <w:bidi w:val="1"/>
      </w:pPr>
      <w:r>
        <w:t>هذه القيم مؤقتة واختيرت لضمان التباين، وليست Brand Palette نهائية. يمكن استبدالها بلوحة مقصودة، لكن يجب إعادة فحص التباين في الوضعين بعد أي تغيير؛ أخطاء تباين الوضع الداكن من أكثر حالات التراجع شيوعًا.</w:t>
      </w:r>
    </w:p>
    <w:p>
      <w:pPr>
        <w:jc w:val="right"/>
        <w:bidi w:val="1"/>
      </w:pPr>
      <w:r>
        <w:rPr>
          <w:b/>
          <w:sz w:val="25"/>
        </w:rPr>
        <w:t>1.2 الخطوط Typography</w:t>
      </w:r>
    </w:p>
    <w:tbl>
      <w:tblPr>
        <w:tblStyle w:val="TableGrid"/>
        <w:tblW w:type="auto" w:w="0"/>
        <w:jc w:val="right"/>
        <w:tblLook w:firstColumn="1" w:firstRow="1" w:lastColumn="0" w:lastRow="0" w:noHBand="0" w:noVBand="1" w:val="04A0"/>
      </w:tblPr>
      <w:tblGrid>
        <w:gridCol w:w="3513"/>
        <w:gridCol w:w="3513"/>
        <w:gridCol w:w="3513"/>
      </w:tblGrid>
      <w:tr>
        <w:tc>
          <w:tcPr>
            <w:tcW w:type="dxa" w:w="3513"/>
          </w:tcPr>
          <w:p>
            <w:pPr>
              <w:jc w:val="right"/>
              <w:bidi w:val="1"/>
            </w:pPr>
            <w:r/>
            <w:r>
              <w:rPr>
                <w:b/>
                <w:sz w:val="17"/>
              </w:rPr>
              <w:t>الدور</w:t>
            </w:r>
          </w:p>
        </w:tc>
        <w:tc>
          <w:tcPr>
            <w:tcW w:type="dxa" w:w="3513"/>
          </w:tcPr>
          <w:p>
            <w:pPr>
              <w:jc w:val="right"/>
              <w:bidi w:val="1"/>
            </w:pPr>
            <w:r/>
            <w:r>
              <w:rPr>
                <w:b/>
                <w:sz w:val="17"/>
              </w:rPr>
              <w:t>Latin / Turkish</w:t>
            </w:r>
          </w:p>
        </w:tc>
        <w:tc>
          <w:tcPr>
            <w:tcW w:type="dxa" w:w="3513"/>
          </w:tcPr>
          <w:p>
            <w:pPr>
              <w:jc w:val="right"/>
              <w:bidi w:val="1"/>
            </w:pPr>
            <w:r/>
            <w:r>
              <w:rPr>
                <w:b/>
                <w:sz w:val="17"/>
              </w:rPr>
              <w:t>Arabic</w:t>
            </w:r>
          </w:p>
        </w:tc>
      </w:tr>
      <w:tr>
        <w:tc>
          <w:tcPr>
            <w:tcW w:type="dxa" w:w="3513"/>
          </w:tcPr>
          <w:p>
            <w:pPr>
              <w:jc w:val="right"/>
              <w:bidi w:val="1"/>
            </w:pPr>
            <w:r/>
            <w:r>
              <w:rPr>
                <w:b w:val="0"/>
                <w:sz w:val="17"/>
              </w:rPr>
              <w:t>Body</w:t>
            </w:r>
          </w:p>
        </w:tc>
        <w:tc>
          <w:tcPr>
            <w:tcW w:type="dxa" w:w="3513"/>
          </w:tcPr>
          <w:p>
            <w:pPr>
              <w:jc w:val="right"/>
              <w:bidi w:val="1"/>
            </w:pPr>
            <w:r/>
            <w:r>
              <w:rPr>
                <w:b w:val="0"/>
                <w:sz w:val="17"/>
              </w:rPr>
              <w:t>Inter</w:t>
            </w:r>
          </w:p>
        </w:tc>
        <w:tc>
          <w:tcPr>
            <w:tcW w:type="dxa" w:w="3513"/>
          </w:tcPr>
          <w:p>
            <w:pPr>
              <w:jc w:val="right"/>
              <w:bidi w:val="1"/>
            </w:pPr>
            <w:r/>
            <w:r>
              <w:rPr>
                <w:b w:val="0"/>
                <w:sz w:val="17"/>
              </w:rPr>
              <w:t>IBM Plex Sans Arabic</w:t>
            </w:r>
          </w:p>
        </w:tc>
      </w:tr>
      <w:tr>
        <w:tc>
          <w:tcPr>
            <w:tcW w:type="dxa" w:w="3513"/>
          </w:tcPr>
          <w:p>
            <w:pPr>
              <w:jc w:val="right"/>
              <w:bidi w:val="1"/>
            </w:pPr>
            <w:r/>
            <w:r>
              <w:rPr>
                <w:b w:val="0"/>
                <w:sz w:val="17"/>
              </w:rPr>
              <w:t>Code</w:t>
            </w:r>
          </w:p>
        </w:tc>
        <w:tc>
          <w:tcPr>
            <w:tcW w:type="dxa" w:w="3513"/>
          </w:tcPr>
          <w:p>
            <w:pPr>
              <w:jc w:val="right"/>
              <w:bidi w:val="1"/>
            </w:pPr>
            <w:r/>
            <w:r>
              <w:rPr>
                <w:b w:val="0"/>
                <w:sz w:val="17"/>
              </w:rPr>
              <w:t>JetBrains Mono</w:t>
            </w:r>
          </w:p>
        </w:tc>
        <w:tc>
          <w:tcPr>
            <w:tcW w:type="dxa" w:w="3513"/>
          </w:tcPr>
          <w:p>
            <w:pPr>
              <w:jc w:val="right"/>
              <w:bidi w:val="1"/>
            </w:pPr>
            <w:r/>
            <w:r>
              <w:rPr>
                <w:b w:val="0"/>
                <w:sz w:val="17"/>
              </w:rPr>
              <w:t>JetBrains Mono</w:t>
            </w:r>
          </w:p>
        </w:tc>
      </w:tr>
    </w:tbl>
    <w:p/>
    <w:p>
      <w:pPr>
        <w:jc w:val="right"/>
        <w:bidi w:val="1"/>
      </w:pPr>
      <w:r>
        <w:t>• الاستضافة الذاتية عبر next/font مع font-display: swap وفق P-08.</w:t>
      </w:r>
    </w:p>
    <w:p>
      <w:pPr>
        <w:jc w:val="right"/>
        <w:bidi w:val="1"/>
      </w:pPr>
      <w:r>
        <w:t>• تقسيم الخط حسب Script وتحميله شرطيًا وفق Locale وفق P-09. لا يجب تنزيل الخط العربي على /en أو /tr.</w:t>
      </w:r>
    </w:p>
    <w:p>
      <w:pPr>
        <w:jc w:val="right"/>
        <w:bidi w:val="1"/>
      </w:pPr>
      <w:r>
        <w:t>• التركية تحتاج الحروف ı ğ ş ç ö ü؛ يجب التأكد من أن Latin subset يدعم الحروف التركية وليس latin الأساسي فقط، وإلا قد يظهر ı بخط fallback.</w:t>
      </w:r>
    </w:p>
    <w:p>
      <w:pPr>
        <w:jc w:val="right"/>
        <w:bidi w:val="1"/>
      </w:pPr>
      <w:r>
        <w:t>مقياس الأحجام: 0.875 / 1 / 1.125 / 1.25 / 1.5 / 2 / 2.5 rem. النص الأساسي 1rem وline-height = 1.6، وللعربية 1.8 لأن الكتابة العربية تحتاج مسافة رأسية أكبر بالحجم نفسه.</w:t>
      </w:r>
    </w:p>
    <w:p>
      <w:pPr>
        <w:jc w:val="right"/>
        <w:bidi w:val="1"/>
      </w:pPr>
      <w:r>
        <w:rPr>
          <w:b/>
          <w:sz w:val="25"/>
        </w:rPr>
        <w:t>1.3 المسافات والتخطيط</w:t>
      </w:r>
    </w:p>
    <w:p>
      <w:pPr>
        <w:jc w:val="right"/>
        <w:bidi w:val="1"/>
      </w:pPr>
      <w:r>
        <w:t>• مقياس المسافات: 4 / 8 / 12 / 16 / 24 / 32 / 48 / 64 px.</w:t>
      </w:r>
    </w:p>
    <w:p>
      <w:pPr>
        <w:jc w:val="right"/>
        <w:bidi w:val="1"/>
      </w:pPr>
      <w:r>
        <w:t>• أقصى عرض للمحتوى: 720px للنص، و1120px لغلاف الصفحة.</w:t>
      </w:r>
    </w:p>
    <w:p>
      <w:pPr>
        <w:jc w:val="right"/>
        <w:bidi w:val="1"/>
      </w:pPr>
      <w:r>
        <w:t>• Side gutter لا يقل عن 16px في كل الأحجام. لا Horizontal scroll عند 320px وفق P/F-05.</w:t>
      </w:r>
    </w:p>
    <w:p>
      <w:pPr>
        <w:jc w:val="right"/>
        <w:bidi w:val="1"/>
      </w:pPr>
      <w:r>
        <w:t>• Breakpoints: 640 (sm)، 768 (md)، 1024 (lg).</w:t>
      </w:r>
    </w:p>
    <w:p>
      <w:pPr>
        <w:jc w:val="right"/>
        <w:bidi w:val="1"/>
      </w:pPr>
      <w:r>
        <w:rPr>
          <w:b/>
          <w:sz w:val="30"/>
        </w:rPr>
        <w:t>2. Wireframes</w:t>
      </w:r>
    </w:p>
    <w:p>
      <w:pPr>
        <w:jc w:val="right"/>
        <w:bidi w:val="1"/>
      </w:pPr>
      <w:r>
        <w:t>مستويات العناوين محددة. يوجد h1 واحد فقط في كل صفحة ولا توجد مستويات متخطاة.</w:t>
      </w:r>
    </w:p>
    <w:p>
      <w:pPr>
        <w:jc w:val="right"/>
        <w:bidi w:val="1"/>
      </w:pPr>
      <w:r>
        <w:rPr>
          <w:b/>
          <w:sz w:val="25"/>
        </w:rPr>
        <w:t>2.1 الهيكل العام — جميع الصفحات LTR</w:t>
      </w:r>
    </w:p>
    <w:p>
      <w:pPr>
        <w:jc w:val="left"/>
      </w:pPr>
      <w:r>
        <w:rPr>
          <w:rFonts w:ascii="DejaVu Sans Mono" w:hAnsi="DejaVu Sans Mono"/>
          <w:sz w:val="16"/>
        </w:rPr>
        <w:t>┌──────────────────────────────────────────────────────┐</w:t>
        <w:br/>
        <w:t>│ [Skip to content]  ← يظهر فقط عند التركيز            │</w:t>
        <w:br/>
        <w:t>├──────────────────────────────────────────────────────┤</w:t>
        <w:br/>
        <w:t>│ Zeyad Alnahdi  Home About Projects Contact EN▾  ☾   │</w:t>
        <w:br/>
        <w:t>├──────────────────────────────────────────────────────┤</w:t>
        <w:br/>
        <w:t>│                                                      │</w:t>
        <w:br/>
        <w:t>│                 &lt;main id="content"&gt;                  │</w:t>
        <w:br/>
        <w:t>│                                                      │</w:t>
        <w:br/>
        <w:t>├──────────────────────────────────────────────────────┤</w:t>
        <w:br/>
        <w:t>│ zeyadalnahdii@gmail.com   GitHub   LinkedIn          │</w:t>
        <w:br/>
        <w:t>│ © 2026 Zeyad Alnahdi                                │</w:t>
        <w:br/>
        <w:t>└──────────────────────────────────────────────────────┘</w:t>
      </w:r>
    </w:p>
    <w:p>
      <w:pPr>
        <w:jc w:val="right"/>
        <w:bidi w:val="1"/>
      </w:pPr>
      <w:r>
        <w:t>على الهاتف: تتحول قائمة التنقل إلى Disclosure button. لا تستخدم Overlay يحبس الـFocus؛ A-04 يمنع Focus traps، والقائمة التي تملأ الشاشة ولا يمكن إغلاقها بزر Esc تفشل هذا الشرط.</w:t>
      </w:r>
    </w:p>
    <w:p>
      <w:pPr>
        <w:jc w:val="right"/>
        <w:bidi w:val="1"/>
      </w:pPr>
      <w:r>
        <w:rPr>
          <w:b/>
          <w:sz w:val="25"/>
        </w:rPr>
        <w:t>2.2 الصفحة الرئيسية Home</w:t>
      </w:r>
    </w:p>
    <w:p>
      <w:pPr>
        <w:jc w:val="left"/>
      </w:pPr>
      <w:r>
        <w:rPr>
          <w:rFonts w:ascii="DejaVu Sans Mono" w:hAnsi="DejaVu Sans Mono"/>
          <w:sz w:val="16"/>
        </w:rPr>
        <w:t>h1   Zeyad Alnahdi</w:t>
        <w:br/>
        <w:t xml:space="preserve">      Backend &amp; Desktop Application Developer</w:t>
        <w:br/>
        <w:t xml:space="preserve">      ← عنصر LCP: نص</w:t>
        <w:br/>
        <w:br/>
        <w:t xml:space="preserve">      مقدمة من 2–3 جمل.</w:t>
        <w:br/>
        <w:br/>
        <w:t>h2   What I work with</w:t>
        <w:br/>
        <w:t xml:space="preserve">      C# · ASP.NET Core · SQL Server · PostgreSQL</w:t>
        <w:br/>
        <w:t xml:space="preserve">      Python/FastAPI · TypeScript · Next.js · Docker</w:t>
        <w:br/>
        <w:br/>
        <w:t>h2   Selected work</w:t>
        <w:br/>
        <w:t xml:space="preserve">      ┌────────────────────┐  ┌────────────────────┐</w:t>
        <w:br/>
        <w:t xml:space="preserve">      │ h3 AI Autonomous   │  │ h3 Restaurant     │</w:t>
        <w:br/>
        <w:t xml:space="preserve">      │    Workspace       │  │    Management     │</w:t>
        <w:br/>
        <w:t xml:space="preserve">      │ [In development]   │  │                   │</w:t>
        <w:br/>
        <w:t xml:space="preserve">      │ description        │  │ description       │</w:t>
        <w:br/>
        <w:t xml:space="preserve">      │ tags               │  │ tags              │</w:t>
        <w:br/>
        <w:t xml:space="preserve">      │ → Details          │  │ → Details         │</w:t>
        <w:br/>
        <w:t xml:space="preserve">      └────────────────────┘  └────────────────────┘</w:t>
        <w:br/>
        <w:br/>
        <w:t xml:space="preserve">      ارتفاع ثابت للبطاقات ومساحة محجوزة؛ لا Shift عند التحميل.</w:t>
        <w:br/>
        <w:br/>
        <w:t xml:space="preserve">      [ Get in touch ]  ← CTA (F-14)</w:t>
      </w:r>
    </w:p>
    <w:p>
      <w:pPr>
        <w:jc w:val="right"/>
        <w:bidi w:val="1"/>
      </w:pPr>
      <w:r>
        <w:rPr>
          <w:b/>
          <w:sz w:val="25"/>
        </w:rPr>
        <w:t>2.3 المشاريع Projects</w:t>
      </w:r>
    </w:p>
    <w:p>
      <w:pPr>
        <w:jc w:val="left"/>
      </w:pPr>
      <w:r>
        <w:rPr>
          <w:rFonts w:ascii="DejaVu Sans Mono" w:hAnsi="DejaVu Sans Mono"/>
          <w:sz w:val="16"/>
        </w:rPr>
        <w:t>h1   Projects</w:t>
        <w:br/>
        <w:br/>
        <w:t>h2   AI Autonomous Workspace   [In development · Sprint 3 of 7]</w:t>
        <w:br/>
        <w:t xml:space="preserve">      Problem      — جملة واحدة</w:t>
        <w:br/>
        <w:t xml:space="preserve">      Architecture — ASP.NET Core, 4 layers; FastAPI AI service; Qdrant; Ollama</w:t>
        <w:br/>
        <w:t xml:space="preserve">      Result       — فهرسة PDF من 35 صفحة end-to-end خلال 32.6s</w:t>
        <w:br/>
        <w:t xml:space="preserve">                     وإجابات مع citations</w:t>
        <w:br/>
        <w:t xml:space="preserve">      Limitation   — واجهة المساعد لم تُبنَ بعد</w:t>
        <w:br/>
        <w:t xml:space="preserve">      Stack tags</w:t>
        <w:br/>
        <w:t xml:space="preserve">      [ View repository ]  ← محجوب على D3</w:t>
        <w:br/>
        <w:br/>
        <w:t>h2   Restaurant Management</w:t>
        <w:br/>
        <w:t xml:space="preserve">      Problem      — جملة واحدة</w:t>
        <w:br/>
        <w:t xml:space="preserve">      Architecture — ثلاث طبقات (FM → PL → DAL)، Stored Procedures فقط</w:t>
        <w:br/>
        <w:t xml:space="preserve">      Scale        — 9 Forms · 10 Tables · 37 Stored Procedures</w:t>
        <w:br/>
        <w:t xml:space="preserve">      Notable      — واجهة Desktop عربية RTL</w:t>
        <w:br/>
        <w:t xml:space="preserve">      Stack tags</w:t>
        <w:br/>
        <w:t xml:space="preserve">      [ View repository ]  ← محجوب على D2</w:t>
      </w:r>
    </w:p>
    <w:p>
      <w:pPr>
        <w:jc w:val="right"/>
        <w:bidi w:val="1"/>
      </w:pPr>
      <w:r>
        <w:t>كل مشروع h2 وله بنية داخلية متسقة. الاتساق هنا أهم من الزخرفة: Recruiter يبحث سريعًا عن Stack والحجم، ويجب أن يجدهما في المكان نفسه في كل بطاقة.</w:t>
      </w:r>
    </w:p>
    <w:p>
      <w:pPr>
        <w:jc w:val="right"/>
        <w:bidi w:val="1"/>
      </w:pPr>
      <w:r>
        <w:t>سطر Limitation ليس نقطة ضعف في التصميم؛ بل أداة مصداقية. البورتفوليو الذي يصرّح بما لم يكتمل يُقرأ على أنه أكثر موثوقية فيما يدعي أنه مكتمل.</w:t>
      </w:r>
    </w:p>
    <w:p>
      <w:pPr>
        <w:jc w:val="right"/>
        <w:bidi w:val="1"/>
      </w:pPr>
      <w:r>
        <w:rPr>
          <w:b/>
          <w:sz w:val="25"/>
        </w:rPr>
        <w:t>2.4 نبذة About</w:t>
      </w:r>
    </w:p>
    <w:p>
      <w:pPr>
        <w:jc w:val="left"/>
      </w:pPr>
      <w:r>
        <w:rPr>
          <w:rFonts w:ascii="DejaVu Sans Mono" w:hAnsi="DejaVu Sans Mono"/>
          <w:sz w:val="16"/>
        </w:rPr>
        <w:t>h1   About me</w:t>
        <w:br/>
        <w:t xml:space="preserve">      فقرة التموضع.</w:t>
        <w:br/>
        <w:br/>
        <w:t>h2   How I learned</w:t>
        <w:br/>
        <w:t xml:space="preserve">      Self-taught: C++ → C# → SQL Server → ASP.NET Core.</w:t>
        <w:br/>
        <w:br/>
        <w:t>h2   Psychology, applied</w:t>
        <w:br/>
        <w:t xml:space="preserve">      مثال ملموس واحد على تأثير الشهادة في قرار تقني.</w:t>
        <w:br/>
        <w:t xml:space="preserve">      ليست قصة تغيير مسار وظيفي.</w:t>
        <w:br/>
        <w:br/>
        <w:t>h2   What I'm looking for</w:t>
        <w:br/>
        <w:t xml:space="preserve">      Freelance · remote · Aksaray-based, open to Ankara roles.</w:t>
        <w:br/>
        <w:br/>
        <w:t xml:space="preserve">      [ Download CV (PDF) ]  ← F-34، نسخة لكل لغة</w:t>
      </w:r>
    </w:p>
    <w:p>
      <w:pPr>
        <w:jc w:val="right"/>
        <w:bidi w:val="1"/>
      </w:pPr>
      <w:r>
        <w:rPr>
          <w:b/>
          <w:sz w:val="25"/>
        </w:rPr>
        <w:t>2.5 التواصل Contact</w:t>
      </w:r>
    </w:p>
    <w:p>
      <w:pPr>
        <w:jc w:val="left"/>
      </w:pPr>
      <w:r>
        <w:rPr>
          <w:rFonts w:ascii="DejaVu Sans Mono" w:hAnsi="DejaVu Sans Mono"/>
          <w:sz w:val="16"/>
        </w:rPr>
        <w:t>h1   Get in touch</w:t>
        <w:br/>
        <w:t xml:space="preserve">      الرد خلال يومي عمل.</w:t>
        <w:br/>
        <w:br/>
        <w:t xml:space="preserve">      ┌─────────────────────────────┐</w:t>
        <w:br/>
        <w:t xml:space="preserve">      │ Name    [________________]  │  ← &lt;label&gt; وليس placeholder</w:t>
        <w:br/>
        <w:t xml:space="preserve">      │ Email   [________________]  │</w:t>
        <w:br/>
        <w:t xml:space="preserve">      │ Message [________________]  │</w:t>
        <w:br/>
        <w:t xml:space="preserve">      │         [________________]  │</w:t>
        <w:br/>
        <w:t xml:space="preserve">      │         [ Send ]            │</w:t>
        <w:br/>
        <w:t xml:space="preserve">      │ (honeypot field, hidden)    │  ← C-03</w:t>
        <w:br/>
        <w:t xml:space="preserve">      └─────────────────────────────┘</w:t>
        <w:br/>
        <w:br/>
        <w:t xml:space="preserve">      مساحة ثابتة لرسالة الحالة، موجودة دائمًا وفارغة حتى الحاجة.</w:t>
        <w:br/>
        <w:t xml:space="preserve">      هذا يمنع CLS عند الإرسال. (P-02, A-08)</w:t>
        <w:br/>
        <w:br/>
        <w:t>h2   Elsewhere</w:t>
        <w:br/>
        <w:t xml:space="preserve">      zeyadalnahdii@gmail.com · GitHub · LinkedIn</w:t>
        <w:br/>
        <w:t xml:space="preserve">      ← rel="me" (F-43)</w:t>
      </w:r>
    </w:p>
    <w:p>
      <w:pPr>
        <w:jc w:val="right"/>
        <w:bidi w:val="1"/>
      </w:pPr>
      <w:r>
        <w:t>تفصيل مساحة الحالة مهم للـCLS: ظهور رسالة بعد الإرسال يدفع المحتوى للأسفل؛ لذلك يجب حجز ارتفاعها منذ البداية.</w:t>
      </w:r>
    </w:p>
    <w:p>
      <w:pPr>
        <w:jc w:val="right"/>
        <w:bidi w:val="1"/>
      </w:pPr>
      <w:r>
        <w:rPr>
          <w:b/>
          <w:sz w:val="30"/>
        </w:rPr>
        <w:t>3. مواصفات RTL</w:t>
      </w:r>
    </w:p>
    <w:p>
      <w:pPr>
        <w:jc w:val="right"/>
        <w:bidi w:val="1"/>
      </w:pPr>
      <w:r>
        <w:t>العربية ليست مجرد نسخة LTR مقلوبة عبر CSS. القرارات التالية تصميمية ومقصودة.</w:t>
      </w:r>
    </w:p>
    <w:tbl>
      <w:tblPr>
        <w:tblStyle w:val="TableGrid"/>
        <w:tblW w:type="auto" w:w="0"/>
        <w:jc w:val="right"/>
        <w:tblLook w:firstColumn="1" w:firstRow="1" w:lastColumn="0" w:lastRow="0" w:noHBand="0" w:noVBand="1" w:val="04A0"/>
      </w:tblPr>
      <w:tblGrid>
        <w:gridCol w:w="3513"/>
        <w:gridCol w:w="3513"/>
        <w:gridCol w:w="3513"/>
      </w:tblGrid>
      <w:tr>
        <w:tc>
          <w:tcPr>
            <w:tcW w:type="dxa" w:w="3513"/>
          </w:tcPr>
          <w:p>
            <w:pPr>
              <w:jc w:val="right"/>
              <w:bidi w:val="1"/>
            </w:pPr>
            <w:r/>
            <w:r>
              <w:rPr>
                <w:b/>
                <w:sz w:val="17"/>
              </w:rPr>
              <w:t>العنصر</w:t>
            </w:r>
          </w:p>
        </w:tc>
        <w:tc>
          <w:tcPr>
            <w:tcW w:type="dxa" w:w="3513"/>
          </w:tcPr>
          <w:p>
            <w:pPr>
              <w:jc w:val="right"/>
              <w:bidi w:val="1"/>
            </w:pPr>
            <w:r/>
            <w:r>
              <w:rPr>
                <w:b/>
                <w:sz w:val="17"/>
              </w:rPr>
              <w:t>LTR</w:t>
            </w:r>
          </w:p>
        </w:tc>
        <w:tc>
          <w:tcPr>
            <w:tcW w:type="dxa" w:w="3513"/>
          </w:tcPr>
          <w:p>
            <w:pPr>
              <w:jc w:val="right"/>
              <w:bidi w:val="1"/>
            </w:pPr>
            <w:r/>
            <w:r>
              <w:rPr>
                <w:b/>
                <w:sz w:val="17"/>
              </w:rPr>
              <w:t>RTL</w:t>
            </w:r>
          </w:p>
        </w:tc>
      </w:tr>
      <w:tr>
        <w:tc>
          <w:tcPr>
            <w:tcW w:type="dxa" w:w="3513"/>
          </w:tcPr>
          <w:p>
            <w:pPr>
              <w:jc w:val="right"/>
              <w:bidi w:val="1"/>
            </w:pPr>
            <w:r/>
            <w:r>
              <w:rPr>
                <w:b w:val="0"/>
                <w:sz w:val="17"/>
              </w:rPr>
              <w:t>محاذاة النص</w:t>
            </w:r>
          </w:p>
        </w:tc>
        <w:tc>
          <w:tcPr>
            <w:tcW w:type="dxa" w:w="3513"/>
          </w:tcPr>
          <w:p>
            <w:pPr>
              <w:jc w:val="right"/>
              <w:bidi w:val="1"/>
            </w:pPr>
            <w:r/>
            <w:r>
              <w:rPr>
                <w:b w:val="0"/>
                <w:sz w:val="17"/>
              </w:rPr>
              <w:t>يسار</w:t>
            </w:r>
          </w:p>
        </w:tc>
        <w:tc>
          <w:tcPr>
            <w:tcW w:type="dxa" w:w="3513"/>
          </w:tcPr>
          <w:p>
            <w:pPr>
              <w:jc w:val="right"/>
              <w:bidi w:val="1"/>
            </w:pPr>
            <w:r/>
            <w:r>
              <w:rPr>
                <w:b w:val="0"/>
                <w:sz w:val="17"/>
              </w:rPr>
              <w:t>يمين</w:t>
            </w:r>
          </w:p>
        </w:tc>
      </w:tr>
      <w:tr>
        <w:tc>
          <w:tcPr>
            <w:tcW w:type="dxa" w:w="3513"/>
          </w:tcPr>
          <w:p>
            <w:pPr>
              <w:jc w:val="right"/>
              <w:bidi w:val="1"/>
            </w:pPr>
            <w:r/>
            <w:r>
              <w:rPr>
                <w:b w:val="0"/>
                <w:sz w:val="17"/>
              </w:rPr>
              <w:t>ترتيب Nav</w:t>
            </w:r>
          </w:p>
        </w:tc>
        <w:tc>
          <w:tcPr>
            <w:tcW w:type="dxa" w:w="3513"/>
          </w:tcPr>
          <w:p>
            <w:pPr>
              <w:jc w:val="right"/>
              <w:bidi w:val="1"/>
            </w:pPr>
            <w:r/>
            <w:r>
              <w:rPr>
                <w:b w:val="0"/>
                <w:sz w:val="17"/>
              </w:rPr>
              <w:t>Home → Contact من اليسار لليمين</w:t>
            </w:r>
          </w:p>
        </w:tc>
        <w:tc>
          <w:tcPr>
            <w:tcW w:type="dxa" w:w="3513"/>
          </w:tcPr>
          <w:p>
            <w:pPr>
              <w:jc w:val="right"/>
              <w:bidi w:val="1"/>
            </w:pPr>
            <w:r/>
            <w:r>
              <w:rPr>
                <w:b w:val="0"/>
                <w:sz w:val="17"/>
              </w:rPr>
              <w:t>Home → Contact من اليمين لليسار</w:t>
            </w:r>
          </w:p>
        </w:tc>
      </w:tr>
      <w:tr>
        <w:tc>
          <w:tcPr>
            <w:tcW w:type="dxa" w:w="3513"/>
          </w:tcPr>
          <w:p>
            <w:pPr>
              <w:jc w:val="right"/>
              <w:bidi w:val="1"/>
            </w:pPr>
            <w:r/>
            <w:r>
              <w:rPr>
                <w:b w:val="0"/>
                <w:sz w:val="17"/>
              </w:rPr>
              <w:t>Logo / الاسم</w:t>
            </w:r>
          </w:p>
        </w:tc>
        <w:tc>
          <w:tcPr>
            <w:tcW w:type="dxa" w:w="3513"/>
          </w:tcPr>
          <w:p>
            <w:pPr>
              <w:jc w:val="right"/>
              <w:bidi w:val="1"/>
            </w:pPr>
            <w:r/>
            <w:r>
              <w:rPr>
                <w:b w:val="0"/>
                <w:sz w:val="17"/>
              </w:rPr>
              <w:t>أعلى اليسار</w:t>
            </w:r>
          </w:p>
        </w:tc>
        <w:tc>
          <w:tcPr>
            <w:tcW w:type="dxa" w:w="3513"/>
          </w:tcPr>
          <w:p>
            <w:pPr>
              <w:jc w:val="right"/>
              <w:bidi w:val="1"/>
            </w:pPr>
            <w:r/>
            <w:r>
              <w:rPr>
                <w:b w:val="0"/>
                <w:sz w:val="17"/>
              </w:rPr>
              <w:t>أعلى اليمين</w:t>
            </w:r>
          </w:p>
        </w:tc>
      </w:tr>
      <w:tr>
        <w:tc>
          <w:tcPr>
            <w:tcW w:type="dxa" w:w="3513"/>
          </w:tcPr>
          <w:p>
            <w:pPr>
              <w:jc w:val="right"/>
              <w:bidi w:val="1"/>
            </w:pPr>
            <w:r/>
            <w:r>
              <w:rPr>
                <w:b w:val="0"/>
                <w:sz w:val="17"/>
              </w:rPr>
              <w:t>تدفق البطاقة</w:t>
            </w:r>
          </w:p>
        </w:tc>
        <w:tc>
          <w:tcPr>
            <w:tcW w:type="dxa" w:w="3513"/>
          </w:tcPr>
          <w:p>
            <w:pPr>
              <w:jc w:val="right"/>
              <w:bidi w:val="1"/>
            </w:pPr>
            <w:r/>
            <w:r>
              <w:rPr>
                <w:b w:val="0"/>
                <w:sz w:val="17"/>
              </w:rPr>
              <w:t>Label يسار، Value يمين</w:t>
            </w:r>
          </w:p>
        </w:tc>
        <w:tc>
          <w:tcPr>
            <w:tcW w:type="dxa" w:w="3513"/>
          </w:tcPr>
          <w:p>
            <w:pPr>
              <w:jc w:val="right"/>
              <w:bidi w:val="1"/>
            </w:pPr>
            <w:r/>
            <w:r>
              <w:rPr>
                <w:b w:val="0"/>
                <w:sz w:val="17"/>
              </w:rPr>
              <w:t>Label يمين، Value يسار</w:t>
            </w:r>
          </w:p>
        </w:tc>
      </w:tr>
      <w:tr>
        <w:tc>
          <w:tcPr>
            <w:tcW w:type="dxa" w:w="3513"/>
          </w:tcPr>
          <w:p>
            <w:pPr>
              <w:jc w:val="right"/>
              <w:bidi w:val="1"/>
            </w:pPr>
            <w:r/>
            <w:r>
              <w:rPr>
                <w:b w:val="0"/>
                <w:sz w:val="17"/>
              </w:rPr>
              <w:t>الأيقونات الاتجاهية</w:t>
            </w:r>
          </w:p>
        </w:tc>
        <w:tc>
          <w:tcPr>
            <w:tcW w:type="dxa" w:w="3513"/>
          </w:tcPr>
          <w:p>
            <w:pPr>
              <w:jc w:val="right"/>
              <w:bidi w:val="1"/>
            </w:pPr>
            <w:r/>
            <w:r>
              <w:rPr>
                <w:b w:val="0"/>
                <w:sz w:val="17"/>
              </w:rPr>
              <w:t>كما هي</w:t>
            </w:r>
          </w:p>
        </w:tc>
        <w:tc>
          <w:tcPr>
            <w:tcW w:type="dxa" w:w="3513"/>
          </w:tcPr>
          <w:p>
            <w:pPr>
              <w:jc w:val="right"/>
              <w:bidi w:val="1"/>
            </w:pPr>
            <w:r/>
            <w:r>
              <w:rPr>
                <w:b w:val="0"/>
                <w:sz w:val="17"/>
              </w:rPr>
              <w:t>تُعكس</w:t>
            </w:r>
          </w:p>
        </w:tc>
      </w:tr>
      <w:tr>
        <w:tc>
          <w:tcPr>
            <w:tcW w:type="dxa" w:w="3513"/>
          </w:tcPr>
          <w:p>
            <w:pPr>
              <w:jc w:val="right"/>
              <w:bidi w:val="1"/>
            </w:pPr>
            <w:r/>
            <w:r>
              <w:rPr>
                <w:b w:val="0"/>
                <w:sz w:val="17"/>
              </w:rPr>
              <w:t>الأيقونات غير الاتجاهية</w:t>
            </w:r>
          </w:p>
        </w:tc>
        <w:tc>
          <w:tcPr>
            <w:tcW w:type="dxa" w:w="3513"/>
          </w:tcPr>
          <w:p>
            <w:pPr>
              <w:jc w:val="right"/>
              <w:bidi w:val="1"/>
            </w:pPr>
            <w:r/>
            <w:r>
              <w:rPr>
                <w:b w:val="0"/>
                <w:sz w:val="17"/>
              </w:rPr>
              <w:t>كما هي</w:t>
            </w:r>
          </w:p>
        </w:tc>
        <w:tc>
          <w:tcPr>
            <w:tcW w:type="dxa" w:w="3513"/>
          </w:tcPr>
          <w:p>
            <w:pPr>
              <w:jc w:val="right"/>
              <w:bidi w:val="1"/>
            </w:pPr>
            <w:r/>
            <w:r>
              <w:rPr>
                <w:b w:val="0"/>
                <w:sz w:val="17"/>
              </w:rPr>
              <w:t>لا تُعكس</w:t>
            </w:r>
          </w:p>
        </w:tc>
      </w:tr>
      <w:tr>
        <w:tc>
          <w:tcPr>
            <w:tcW w:type="dxa" w:w="3513"/>
          </w:tcPr>
          <w:p>
            <w:pPr>
              <w:jc w:val="right"/>
              <w:bidi w:val="1"/>
            </w:pPr>
            <w:r/>
            <w:r>
              <w:rPr>
                <w:b w:val="0"/>
                <w:sz w:val="17"/>
              </w:rPr>
              <w:t>الأرقام</w:t>
            </w:r>
          </w:p>
        </w:tc>
        <w:tc>
          <w:tcPr>
            <w:tcW w:type="dxa" w:w="3513"/>
          </w:tcPr>
          <w:p>
            <w:pPr>
              <w:jc w:val="right"/>
              <w:bidi w:val="1"/>
            </w:pPr>
            <w:r/>
            <w:r>
              <w:rPr>
                <w:b w:val="0"/>
                <w:sz w:val="17"/>
              </w:rPr>
              <w:t>Western 1234</w:t>
            </w:r>
          </w:p>
        </w:tc>
        <w:tc>
          <w:tcPr>
            <w:tcW w:type="dxa" w:w="3513"/>
          </w:tcPr>
          <w:p>
            <w:pPr>
              <w:jc w:val="right"/>
              <w:bidi w:val="1"/>
            </w:pPr>
            <w:r/>
            <w:r>
              <w:rPr>
                <w:b w:val="0"/>
                <w:sz w:val="17"/>
              </w:rPr>
              <w:t>Western 1234 — شائع في العربية التقنية</w:t>
            </w:r>
          </w:p>
        </w:tc>
      </w:tr>
      <w:tr>
        <w:tc>
          <w:tcPr>
            <w:tcW w:type="dxa" w:w="3513"/>
          </w:tcPr>
          <w:p>
            <w:pPr>
              <w:jc w:val="right"/>
              <w:bidi w:val="1"/>
            </w:pPr>
            <w:r/>
            <w:r>
              <w:rPr>
                <w:b w:val="0"/>
                <w:sz w:val="17"/>
              </w:rPr>
              <w:t>Code blocks / inline code</w:t>
            </w:r>
          </w:p>
        </w:tc>
        <w:tc>
          <w:tcPr>
            <w:tcW w:type="dxa" w:w="3513"/>
          </w:tcPr>
          <w:p>
            <w:pPr>
              <w:jc w:val="right"/>
              <w:bidi w:val="1"/>
            </w:pPr>
            <w:r/>
            <w:r>
              <w:rPr>
                <w:b w:val="0"/>
                <w:sz w:val="17"/>
              </w:rPr>
              <w:t>LTR</w:t>
            </w:r>
          </w:p>
        </w:tc>
        <w:tc>
          <w:tcPr>
            <w:tcW w:type="dxa" w:w="3513"/>
          </w:tcPr>
          <w:p>
            <w:pPr>
              <w:jc w:val="right"/>
              <w:bidi w:val="1"/>
            </w:pPr>
            <w:r/>
            <w:r>
              <w:rPr>
                <w:b w:val="0"/>
                <w:sz w:val="17"/>
              </w:rPr>
              <w:t>LTR دائمًا</w:t>
            </w:r>
          </w:p>
        </w:tc>
      </w:tr>
      <w:tr>
        <w:tc>
          <w:tcPr>
            <w:tcW w:type="dxa" w:w="3513"/>
          </w:tcPr>
          <w:p>
            <w:pPr>
              <w:jc w:val="right"/>
              <w:bidi w:val="1"/>
            </w:pPr>
            <w:r/>
            <w:r>
              <w:rPr>
                <w:b w:val="0"/>
                <w:sz w:val="17"/>
              </w:rPr>
              <w:t>مصطلحات Latin داخل العربية</w:t>
            </w:r>
          </w:p>
        </w:tc>
        <w:tc>
          <w:tcPr>
            <w:tcW w:type="dxa" w:w="3513"/>
          </w:tcPr>
          <w:p>
            <w:pPr>
              <w:jc w:val="right"/>
              <w:bidi w:val="1"/>
            </w:pPr>
            <w:r/>
            <w:r>
              <w:rPr>
                <w:b w:val="0"/>
                <w:sz w:val="17"/>
              </w:rPr>
              <w:t>—</w:t>
            </w:r>
          </w:p>
        </w:tc>
        <w:tc>
          <w:tcPr>
            <w:tcW w:type="dxa" w:w="3513"/>
          </w:tcPr>
          <w:p>
            <w:pPr>
              <w:jc w:val="right"/>
              <w:bidi w:val="1"/>
            </w:pPr>
            <w:r/>
            <w:r>
              <w:rPr>
                <w:b w:val="0"/>
                <w:sz w:val="17"/>
              </w:rPr>
              <w:t>تبقى LTR inline والفقرة RTL</w:t>
            </w:r>
          </w:p>
        </w:tc>
      </w:tr>
      <w:tr>
        <w:tc>
          <w:tcPr>
            <w:tcW w:type="dxa" w:w="3513"/>
          </w:tcPr>
          <w:p>
            <w:pPr>
              <w:jc w:val="right"/>
              <w:bidi w:val="1"/>
            </w:pPr>
            <w:r/>
            <w:r>
              <w:rPr>
                <w:b w:val="0"/>
                <w:sz w:val="17"/>
              </w:rPr>
              <w:t>ترتيب Focus</w:t>
            </w:r>
          </w:p>
        </w:tc>
        <w:tc>
          <w:tcPr>
            <w:tcW w:type="dxa" w:w="3513"/>
          </w:tcPr>
          <w:p>
            <w:pPr>
              <w:jc w:val="right"/>
              <w:bidi w:val="1"/>
            </w:pPr>
            <w:r/>
            <w:r>
              <w:rPr>
                <w:b w:val="0"/>
                <w:sz w:val="17"/>
              </w:rPr>
              <w:t>يسار → يمين</w:t>
            </w:r>
          </w:p>
        </w:tc>
        <w:tc>
          <w:tcPr>
            <w:tcW w:type="dxa" w:w="3513"/>
          </w:tcPr>
          <w:p>
            <w:pPr>
              <w:jc w:val="right"/>
              <w:bidi w:val="1"/>
            </w:pPr>
            <w:r/>
            <w:r>
              <w:rPr>
                <w:b w:val="0"/>
                <w:sz w:val="17"/>
              </w:rPr>
              <w:t>يمين → يسار</w:t>
            </w:r>
          </w:p>
        </w:tc>
      </w:tr>
    </w:tbl>
    <w:p/>
    <w:p>
      <w:pPr>
        <w:jc w:val="right"/>
        <w:bidi w:val="1"/>
      </w:pPr>
      <w:r>
        <w:rPr>
          <w:b/>
          <w:sz w:val="25"/>
        </w:rPr>
        <w:t>3.1 قواعد التنفيذ</w:t>
      </w:r>
    </w:p>
    <w:p>
      <w:pPr>
        <w:jc w:val="right"/>
        <w:bidi w:val="1"/>
      </w:pPr>
      <w:r>
        <w:t>• استخدم Logical Properties مثل margin-inline-start وpadding-inline-end وborder-inline-start بدل left/right. عندها يتبع التخطيط dir تلقائيًا ولا تحتاج Stylesheet ثانية.</w:t>
      </w:r>
    </w:p>
    <w:p>
      <w:pPr>
        <w:jc w:val="right"/>
        <w:bidi w:val="1"/>
      </w:pPr>
      <w:r>
        <w:t>• ممنوع transform: scaleX(-1) على Container؛ لأنه يعكس النص والأيقونات التي لا ينبغي عكسها ويقلب معنى الرموز غير الاتجاهية.</w:t>
      </w:r>
    </w:p>
    <w:p>
      <w:pPr>
        <w:jc w:val="right"/>
        <w:bidi w:val="1"/>
      </w:pPr>
      <w:r>
        <w:t>• ضع dir="ltr" صراحة على &lt;code&gt; و&lt;pre&gt; وعناوين البريد والـURLs داخل المحتوى العربي. النص مختلط الاتجاه دون تحديد قد يضع علامات الترقيم في المكان الخطأ.</w:t>
      </w:r>
    </w:p>
    <w:p>
      <w:pPr>
        <w:jc w:val="right"/>
        <w:bidi w:val="1"/>
      </w:pPr>
      <w:r>
        <w:t>• اختبر بمحتوى عربي حقيقي، لا Lorem Ipsum. النص اللاتيني داخل RTL يخفي مشاكل bidi التي سيكشفها المحتوى الحقيقي.</w:t>
      </w:r>
    </w:p>
    <w:p>
      <w:pPr>
        <w:jc w:val="right"/>
        <w:bidi w:val="1"/>
      </w:pPr>
      <w:r>
        <w:rPr>
          <w:b/>
          <w:sz w:val="25"/>
        </w:rPr>
        <w:t>3.2 الشاشات التي تحتاج مراجعة RTL مستقلة</w:t>
      </w:r>
    </w:p>
    <w:p>
      <w:pPr>
        <w:jc w:val="right"/>
        <w:bidi w:val="1"/>
      </w:pPr>
      <w:r>
        <w:t>الصفحات الأربع كلها، إضافة إلى: قائمة الهاتف، Dropdown مبدّل اللغة، حالات أخطاء النموذج، وصفحة 404. كل واحدة تعتمد بشكل منفصل ضمن بوابة Sprint 2.</w:t>
      </w:r>
    </w:p>
    <w:p>
      <w:pPr>
        <w:jc w:val="right"/>
        <w:bidi w:val="1"/>
      </w:pPr>
      <w:r>
        <w:rPr>
          <w:b/>
          <w:sz w:val="30"/>
        </w:rPr>
        <w:t>4. بطاقة Open Graph</w:t>
      </w:r>
    </w:p>
    <w:p>
      <w:pPr>
        <w:jc w:val="right"/>
        <w:bidi w:val="1"/>
      </w:pPr>
      <w:r>
        <w:t>المقاس 1200×630، وتُولد لكل Route ولكل Locale عبر next/og وفق M-08.</w:t>
      </w:r>
    </w:p>
    <w:p>
      <w:pPr>
        <w:jc w:val="left"/>
      </w:pPr>
      <w:r>
        <w:rPr>
          <w:rFonts w:ascii="DejaVu Sans Mono" w:hAnsi="DejaVu Sans Mono"/>
          <w:sz w:val="16"/>
        </w:rPr>
        <w:t>┌────────────────────────────────────────────┐</w:t>
        <w:br/>
        <w:t>│                                            │</w:t>
        <w:br/>
        <w:t>│   Zeyad Alnahdi                            │  ← 64px bold</w:t>
        <w:br/>
        <w:t>│   Backend &amp; Desktop Developer              │  ← 36px muted</w:t>
        <w:br/>
        <w:t>│                                            │</w:t>
        <w:br/>
        <w:t>│   ──────────────                           │  ← accent rule</w:t>
        <w:br/>
        <w:t>│                                            │</w:t>
        <w:br/>
        <w:t>│   C# · ASP.NET Core · SQL Server           │  ← 28px</w:t>
        <w:br/>
        <w:t>│                                            │</w:t>
        <w:br/>
        <w:t>│                        zeyadalnahdi.com     │  ← 24px</w:t>
        <w:br/>
        <w:t>└────────────────────────────────────────────┘</w:t>
      </w:r>
    </w:p>
    <w:p>
      <w:pPr>
        <w:jc w:val="right"/>
        <w:bidi w:val="1"/>
      </w:pPr>
      <w:r>
        <w:t>• الخلفية --bg، النص --text، والخط الفاصل --accent.</w:t>
      </w:r>
    </w:p>
    <w:p>
      <w:pPr>
        <w:jc w:val="right"/>
        <w:bidi w:val="1"/>
      </w:pPr>
      <w:r>
        <w:t>• النص حسب Locale؛ النسخة العربية RTL والدومين في أسفل اليسار.</w:t>
      </w:r>
    </w:p>
    <w:p>
      <w:pPr>
        <w:jc w:val="right"/>
        <w:bidi w:val="1"/>
      </w:pPr>
      <w:r>
        <w:t>• يجب تحميل الخطوط صراحة داخل OG route؛ next/og لا يرث خطوط التطبيق. وإلا قد تظهر العربية كمربعات. هذا من أكثر أخطاء OG المترجم شيوعًا.</w:t>
      </w:r>
    </w:p>
    <w:p>
      <w:pPr>
        <w:jc w:val="right"/>
        <w:bidi w:val="1"/>
      </w:pPr>
      <w:r>
        <w:t>• لا صورة شخصية في v1؛ تجنب سؤال الترخيص وحجم الملف بلا مكسب قابل للقياس.</w:t>
      </w:r>
    </w:p>
    <w:p>
      <w:pPr>
        <w:jc w:val="right"/>
        <w:bidi w:val="1"/>
      </w:pPr>
      <w:r>
        <w:rPr>
          <w:b/>
          <w:sz w:val="30"/>
        </w:rPr>
        <w:t>5. الحالات States</w:t>
      </w:r>
    </w:p>
    <w:p>
      <w:pPr>
        <w:jc w:val="right"/>
        <w:bidi w:val="1"/>
      </w:pPr>
      <w:r>
        <w:t>كل عنصر تفاعلي يجب أن يحدد: default · hover · focus · active · disabled.</w:t>
      </w:r>
    </w:p>
    <w:tbl>
      <w:tblPr>
        <w:tblStyle w:val="TableGrid"/>
        <w:tblW w:type="auto" w:w="0"/>
        <w:jc w:val="right"/>
        <w:tblLook w:firstColumn="1" w:firstRow="1" w:lastColumn="0" w:lastRow="0" w:noHBand="0" w:noVBand="1" w:val="04A0"/>
      </w:tblPr>
      <w:tblGrid>
        <w:gridCol w:w="5270"/>
        <w:gridCol w:w="5270"/>
      </w:tblGrid>
      <w:tr>
        <w:tc>
          <w:tcPr>
            <w:tcW w:type="dxa" w:w="5270"/>
          </w:tcPr>
          <w:p>
            <w:pPr>
              <w:jc w:val="right"/>
              <w:bidi w:val="1"/>
            </w:pPr>
            <w:r/>
            <w:r>
              <w:rPr>
                <w:b/>
                <w:sz w:val="17"/>
              </w:rPr>
              <w:t>الحالة</w:t>
            </w:r>
          </w:p>
        </w:tc>
        <w:tc>
          <w:tcPr>
            <w:tcW w:type="dxa" w:w="5270"/>
          </w:tcPr>
          <w:p>
            <w:pPr>
              <w:jc w:val="right"/>
              <w:bidi w:val="1"/>
            </w:pPr>
            <w:r/>
            <w:r>
              <w:rPr>
                <w:b/>
                <w:sz w:val="17"/>
              </w:rPr>
              <w:t>المتطلب</w:t>
            </w:r>
          </w:p>
        </w:tc>
      </w:tr>
      <w:tr>
        <w:tc>
          <w:tcPr>
            <w:tcW w:type="dxa" w:w="5270"/>
          </w:tcPr>
          <w:p>
            <w:pPr>
              <w:jc w:val="right"/>
              <w:bidi w:val="1"/>
            </w:pPr>
            <w:r/>
            <w:r>
              <w:rPr>
                <w:b w:val="0"/>
                <w:sz w:val="17"/>
              </w:rPr>
              <w:t>Focus</w:t>
            </w:r>
          </w:p>
        </w:tc>
        <w:tc>
          <w:tcPr>
            <w:tcW w:type="dxa" w:w="5270"/>
          </w:tcPr>
          <w:p>
            <w:pPr>
              <w:jc w:val="right"/>
              <w:bidi w:val="1"/>
            </w:pPr>
            <w:r/>
            <w:r>
              <w:rPr>
                <w:b w:val="0"/>
                <w:sz w:val="17"/>
              </w:rPr>
              <w:t>حلقة مرئية باستخدام --focus وبإزاحة 2px على كل عنصر تفاعلي A-05. لا outline:none بلا بديل.</w:t>
            </w:r>
          </w:p>
        </w:tc>
      </w:tr>
      <w:tr>
        <w:tc>
          <w:tcPr>
            <w:tcW w:type="dxa" w:w="5270"/>
          </w:tcPr>
          <w:p>
            <w:pPr>
              <w:jc w:val="right"/>
              <w:bidi w:val="1"/>
            </w:pPr>
            <w:r/>
            <w:r>
              <w:rPr>
                <w:b w:val="0"/>
                <w:sz w:val="17"/>
              </w:rPr>
              <w:t>Loading عند إرسال النموذج</w:t>
            </w:r>
          </w:p>
        </w:tc>
        <w:tc>
          <w:tcPr>
            <w:tcW w:type="dxa" w:w="5270"/>
          </w:tcPr>
          <w:p>
            <w:pPr>
              <w:jc w:val="right"/>
              <w:bidi w:val="1"/>
            </w:pPr>
            <w:r/>
            <w:r>
              <w:rPr>
                <w:b w:val="0"/>
                <w:sz w:val="17"/>
              </w:rPr>
              <w:t>الزر Disabled، يتغير النص، aria-busy. لا Spinner يغير التخطيط.</w:t>
            </w:r>
          </w:p>
        </w:tc>
      </w:tr>
      <w:tr>
        <w:tc>
          <w:tcPr>
            <w:tcW w:type="dxa" w:w="5270"/>
          </w:tcPr>
          <w:p>
            <w:pPr>
              <w:jc w:val="right"/>
              <w:bidi w:val="1"/>
            </w:pPr>
            <w:r/>
            <w:r>
              <w:rPr>
                <w:b w:val="0"/>
                <w:sz w:val="17"/>
              </w:rPr>
              <w:t>Error</w:t>
            </w:r>
          </w:p>
        </w:tc>
        <w:tc>
          <w:tcPr>
            <w:tcW w:type="dxa" w:w="5270"/>
          </w:tcPr>
          <w:p>
            <w:pPr>
              <w:jc w:val="right"/>
              <w:bidi w:val="1"/>
            </w:pPr>
            <w:r/>
            <w:r>
              <w:rPr>
                <w:b w:val="0"/>
                <w:sz w:val="17"/>
              </w:rPr>
              <w:t>--text فوق Surface ذات Border، Icon + Text؛ لا تعتمد على اللون وحده.</w:t>
            </w:r>
          </w:p>
        </w:tc>
      </w:tr>
      <w:tr>
        <w:tc>
          <w:tcPr>
            <w:tcW w:type="dxa" w:w="5270"/>
          </w:tcPr>
          <w:p>
            <w:pPr>
              <w:jc w:val="right"/>
              <w:bidi w:val="1"/>
            </w:pPr>
            <w:r/>
            <w:r>
              <w:rPr>
                <w:b w:val="0"/>
                <w:sz w:val="17"/>
              </w:rPr>
              <w:t>Empty</w:t>
            </w:r>
          </w:p>
        </w:tc>
        <w:tc>
          <w:tcPr>
            <w:tcW w:type="dxa" w:w="5270"/>
          </w:tcPr>
          <w:p>
            <w:pPr>
              <w:jc w:val="right"/>
              <w:bidi w:val="1"/>
            </w:pPr>
            <w:r/>
            <w:r>
              <w:rPr>
                <w:b w:val="0"/>
                <w:sz w:val="17"/>
              </w:rPr>
              <w:t>غير مطبق في v1؛ لا توجد قوائم ديناميكية.</w:t>
            </w:r>
          </w:p>
        </w:tc>
      </w:tr>
      <w:tr>
        <w:tc>
          <w:tcPr>
            <w:tcW w:type="dxa" w:w="5270"/>
          </w:tcPr>
          <w:p>
            <w:pPr>
              <w:jc w:val="right"/>
              <w:bidi w:val="1"/>
            </w:pPr>
            <w:r/>
            <w:r>
              <w:rPr>
                <w:b w:val="0"/>
                <w:sz w:val="17"/>
              </w:rPr>
              <w:t>Reduced motion</w:t>
            </w:r>
          </w:p>
        </w:tc>
        <w:tc>
          <w:tcPr>
            <w:tcW w:type="dxa" w:w="5270"/>
          </w:tcPr>
          <w:p>
            <w:pPr>
              <w:jc w:val="right"/>
              <w:bidi w:val="1"/>
            </w:pPr>
            <w:r/>
            <w:r>
              <w:rPr>
                <w:b w:val="0"/>
                <w:sz w:val="17"/>
              </w:rPr>
              <w:t>تعطيل كل Transitions تحت prefers-reduced-motion وفق A-10.</w:t>
            </w:r>
          </w:p>
        </w:tc>
      </w:tr>
    </w:tbl>
    <w:p/>
    <w:p>
      <w:pPr>
        <w:jc w:val="right"/>
        <w:bidi w:val="1"/>
      </w:pPr>
      <w:r>
        <w:t>Transitions: مدة 150ms ease على اللون والخلفية فقط. لا شيء يحرك Layout.</w:t>
      </w:r>
    </w:p>
    <w:p>
      <w:pPr>
        <w:jc w:val="right"/>
        <w:bidi w:val="1"/>
      </w:pPr>
      <w:r>
        <w:rPr>
          <w:b/>
          <w:sz w:val="30"/>
        </w:rPr>
        <w:t>6. المخرجات والاعتماد النهائي</w:t>
      </w:r>
    </w:p>
    <w:tbl>
      <w:tblPr>
        <w:tblStyle w:val="TableGrid"/>
        <w:tblW w:type="auto" w:w="0"/>
        <w:jc w:val="right"/>
        <w:tblLook w:firstColumn="1" w:firstRow="1" w:lastColumn="0" w:lastRow="0" w:noHBand="0" w:noVBand="1" w:val="04A0"/>
      </w:tblPr>
      <w:tblGrid>
        <w:gridCol w:w="5270"/>
        <w:gridCol w:w="5270"/>
      </w:tblGrid>
      <w:tr>
        <w:tc>
          <w:tcPr>
            <w:tcW w:type="dxa" w:w="5270"/>
          </w:tcPr>
          <w:p>
            <w:pPr>
              <w:jc w:val="right"/>
              <w:bidi w:val="1"/>
            </w:pPr>
            <w:r/>
            <w:r>
              <w:rPr>
                <w:b/>
                <w:sz w:val="17"/>
              </w:rPr>
              <w:t>المخرج</w:t>
            </w:r>
          </w:p>
        </w:tc>
        <w:tc>
          <w:tcPr>
            <w:tcW w:type="dxa" w:w="5270"/>
          </w:tcPr>
          <w:p>
            <w:pPr>
              <w:jc w:val="right"/>
              <w:bidi w:val="1"/>
            </w:pPr>
            <w:r/>
            <w:r>
              <w:rPr>
                <w:b/>
                <w:sz w:val="17"/>
              </w:rPr>
              <w:t>الحالة</w:t>
            </w:r>
          </w:p>
        </w:tc>
      </w:tr>
      <w:tr>
        <w:tc>
          <w:tcPr>
            <w:tcW w:type="dxa" w:w="5270"/>
          </w:tcPr>
          <w:p>
            <w:pPr>
              <w:jc w:val="right"/>
              <w:bidi w:val="1"/>
            </w:pPr>
            <w:r/>
            <w:r>
              <w:rPr>
                <w:b w:val="0"/>
                <w:sz w:val="17"/>
              </w:rPr>
              <w:t>Wireframes للصفحات الأربع</w:t>
            </w:r>
          </w:p>
        </w:tc>
        <w:tc>
          <w:tcPr>
            <w:tcW w:type="dxa" w:w="5270"/>
          </w:tcPr>
          <w:p>
            <w:pPr>
              <w:jc w:val="right"/>
              <w:bidi w:val="1"/>
            </w:pPr>
            <w:r/>
            <w:r>
              <w:rPr>
                <w:b w:val="0"/>
                <w:sz w:val="17"/>
              </w:rPr>
              <w:t>§2 — مكتمل</w:t>
            </w:r>
          </w:p>
        </w:tc>
      </w:tr>
      <w:tr>
        <w:tc>
          <w:tcPr>
            <w:tcW w:type="dxa" w:w="5270"/>
          </w:tcPr>
          <w:p>
            <w:pPr>
              <w:jc w:val="right"/>
              <w:bidi w:val="1"/>
            </w:pPr>
            <w:r/>
            <w:r>
              <w:rPr>
                <w:b w:val="0"/>
                <w:sz w:val="17"/>
              </w:rPr>
              <w:t>مواصفات RTL</w:t>
            </w:r>
          </w:p>
        </w:tc>
        <w:tc>
          <w:tcPr>
            <w:tcW w:type="dxa" w:w="5270"/>
          </w:tcPr>
          <w:p>
            <w:pPr>
              <w:jc w:val="right"/>
              <w:bidi w:val="1"/>
            </w:pPr>
            <w:r/>
            <w:r>
              <w:rPr>
                <w:b w:val="0"/>
                <w:sz w:val="17"/>
              </w:rPr>
              <w:t>§3 — مكتمل</w:t>
            </w:r>
          </w:p>
        </w:tc>
      </w:tr>
      <w:tr>
        <w:tc>
          <w:tcPr>
            <w:tcW w:type="dxa" w:w="5270"/>
          </w:tcPr>
          <w:p>
            <w:pPr>
              <w:jc w:val="right"/>
              <w:bidi w:val="1"/>
            </w:pPr>
            <w:r/>
            <w:r>
              <w:rPr>
                <w:b w:val="0"/>
                <w:sz w:val="17"/>
              </w:rPr>
              <w:t>Design tokens</w:t>
            </w:r>
          </w:p>
        </w:tc>
        <w:tc>
          <w:tcPr>
            <w:tcW w:type="dxa" w:w="5270"/>
          </w:tcPr>
          <w:p>
            <w:pPr>
              <w:jc w:val="right"/>
              <w:bidi w:val="1"/>
            </w:pPr>
            <w:r/>
            <w:r>
              <w:rPr>
                <w:b w:val="0"/>
                <w:sz w:val="17"/>
              </w:rPr>
              <w:t>§1 — قيم مؤقتة وتحتاج Brand Palette مقصودة</w:t>
            </w:r>
          </w:p>
        </w:tc>
      </w:tr>
      <w:tr>
        <w:tc>
          <w:tcPr>
            <w:tcW w:type="dxa" w:w="5270"/>
          </w:tcPr>
          <w:p>
            <w:pPr>
              <w:jc w:val="right"/>
              <w:bidi w:val="1"/>
            </w:pPr>
            <w:r/>
            <w:r>
              <w:rPr>
                <w:b w:val="0"/>
                <w:sz w:val="17"/>
              </w:rPr>
              <w:t>مواصفات OG card</w:t>
            </w:r>
          </w:p>
        </w:tc>
        <w:tc>
          <w:tcPr>
            <w:tcW w:type="dxa" w:w="5270"/>
          </w:tcPr>
          <w:p>
            <w:pPr>
              <w:jc w:val="right"/>
              <w:bidi w:val="1"/>
            </w:pPr>
            <w:r/>
            <w:r>
              <w:rPr>
                <w:b w:val="0"/>
                <w:sz w:val="17"/>
              </w:rPr>
              <w:t>§4 — مكتمل</w:t>
            </w:r>
          </w:p>
        </w:tc>
      </w:tr>
      <w:tr>
        <w:tc>
          <w:tcPr>
            <w:tcW w:type="dxa" w:w="5270"/>
          </w:tcPr>
          <w:p>
            <w:pPr>
              <w:jc w:val="right"/>
              <w:bidi w:val="1"/>
            </w:pPr>
            <w:r/>
            <w:r>
              <w:rPr>
                <w:b w:val="0"/>
                <w:sz w:val="17"/>
              </w:rPr>
              <w:t>High-fidelity visual design</w:t>
            </w:r>
          </w:p>
        </w:tc>
        <w:tc>
          <w:tcPr>
            <w:tcW w:type="dxa" w:w="5270"/>
          </w:tcPr>
          <w:p>
            <w:pPr>
              <w:jc w:val="right"/>
              <w:bidi w:val="1"/>
            </w:pPr>
            <w:r/>
            <w:r>
              <w:rPr>
                <w:b w:val="0"/>
                <w:sz w:val="17"/>
              </w:rPr>
              <w:t>لم يبدأ — اختياري؛ يمكن تنفيذ الـWireframes الحالية كما هي</w:t>
            </w:r>
          </w:p>
        </w:tc>
      </w:tr>
    </w:tbl>
    <w:p/>
    <w:p>
      <w:pPr>
        <w:jc w:val="right"/>
        <w:bidi w:val="1"/>
      </w:pPr>
      <w:r>
        <w:t>شرط الاعتماد: قبل إغلاق Sprint 2، تُراجع كل شاشة في أربع حالات: LTR فاتح، LTR داكن، RTL فاتح، RTL داكن، باستخدام محتوى حقيقي في اللغات الثلاث.</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