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memem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DCAC6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BE6B81C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