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........dwwd..............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................dqwdqwd...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..................dqwdqw..................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.......................reg;lpedrlo[p\gv;fc.............................................................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...............................................l;wcxl;cx;lxzl;.........................................................................................................................................................................................................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</w:t>
            </w:r>
            <w:r>
              <w:rPr>
                <w:rtl/>
                <w:sz w:val="28"/>
                <w:szCs w:val="28"/>
              </w:rPr>
              <w:t xml:space="preserve">اسم الأب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</w:t>
            </w:r>
            <w:r>
              <w:rPr>
                <w:rtl/>
                <w:sz w:val="28"/>
                <w:szCs w:val="28"/>
              </w:rPr>
              <w:t xml:space="preserve">اسم العائلة</w:t>
            </w:r>
            <w:r>
              <w:rPr>
                <w:rtl/>
                <w:sz w:val="28"/>
                <w:szCs w:val="28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</w:t>
            </w:r>
            <w:r>
              <w:rPr>
                <w:rtl/>
                <w:sz w:val="36"/>
                <w:szCs w:val="36"/>
              </w:rPr>
              <w:t xml:space="preserve">22/22/2001</w:t>
            </w:r>
            <w:r>
              <w:rPr>
                <w:rtl/>
                <w:sz w:val="10"/>
                <w:szCs w:val="10"/>
              </w:rPr>
              <w:t xml:space="preserve">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....eoplfel;felfemrflefmle.....................................................................................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 w:val="clear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بانتظام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عدوانية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شرود و سرحان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سرقة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