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csdcsd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24863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44A53329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