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2E74B5"/>
          <w:sz w:val="20"/>
        </w:rPr>
        <w:t>INCIDENT RESOLUTION REPORT</w:t>
      </w:r>
    </w:p>
    <w:p>
      <w:pPr>
        <w:spacing w:before="0" w:after="80"/>
      </w:pPr>
      <w:r>
        <w:rPr>
          <w:rFonts w:ascii="Calibri" w:hAnsi="Calibri"/>
          <w:b/>
          <w:color w:val="0B2545"/>
          <w:sz w:val="48"/>
        </w:rPr>
        <w:t>Multi-GPU Inference Initialization Failure</w:t>
      </w:r>
    </w:p>
    <w:p>
      <w:pPr>
        <w:spacing w:before="0" w:after="280"/>
      </w:pPr>
      <w:r>
        <w:rPr>
          <w:rFonts w:ascii="Calibri" w:hAnsi="Calibri"/>
          <w:color w:val="5B6573"/>
          <w:sz w:val="26"/>
        </w:rPr>
        <w:t>Root cause, corrective action, staged validation, and production outcome</w:t>
      </w:r>
    </w:p>
    <w:p>
      <w:pPr>
        <w:spacing w:before="0" w:after="40" w:line="240" w:lineRule="auto"/>
      </w:pPr>
      <w:r>
        <w:rPr>
          <w:rFonts w:ascii="Calibri" w:hAnsi="Calibri"/>
          <w:b/>
          <w:color w:val="0B2545"/>
          <w:sz w:val="20"/>
        </w:rPr>
        <w:t xml:space="preserve">To: </w:t>
      </w:r>
      <w:r>
        <w:rPr>
          <w:rFonts w:ascii="Calibri" w:hAnsi="Calibri"/>
          <w:color w:val="222222"/>
          <w:sz w:val="20"/>
        </w:rPr>
        <w:t>Management and Technology Stakeholders</w:t>
      </w:r>
    </w:p>
    <w:p>
      <w:pPr>
        <w:spacing w:before="0" w:after="40" w:line="240" w:lineRule="auto"/>
      </w:pPr>
      <w:r>
        <w:rPr>
          <w:rFonts w:ascii="Calibri" w:hAnsi="Calibri"/>
          <w:b/>
          <w:color w:val="0B2545"/>
          <w:sz w:val="20"/>
        </w:rPr>
        <w:t xml:space="preserve">From: </w:t>
      </w:r>
      <w:r>
        <w:rPr>
          <w:rFonts w:ascii="Calibri" w:hAnsi="Calibri"/>
          <w:color w:val="222222"/>
          <w:sz w:val="20"/>
        </w:rPr>
        <w:t>AI Engineering</w:t>
      </w:r>
    </w:p>
    <w:p>
      <w:pPr>
        <w:spacing w:before="0" w:after="40" w:line="240" w:lineRule="auto"/>
      </w:pPr>
      <w:r>
        <w:rPr>
          <w:rFonts w:ascii="Calibri" w:hAnsi="Calibri"/>
          <w:b/>
          <w:color w:val="0B2545"/>
          <w:sz w:val="20"/>
        </w:rPr>
        <w:t xml:space="preserve">System: </w:t>
      </w:r>
      <w:r>
        <w:rPr>
          <w:rFonts w:ascii="Calibri" w:hAnsi="Calibri"/>
          <w:color w:val="222222"/>
          <w:sz w:val="20"/>
        </w:rPr>
        <w:t>Production GPU host cbq2-svd-dsgpu2 (10.1.94.110)</w:t>
      </w:r>
    </w:p>
    <w:p>
      <w:pPr>
        <w:spacing w:before="0" w:after="40" w:line="240" w:lineRule="auto"/>
      </w:pPr>
      <w:r>
        <w:rPr>
          <w:rFonts w:ascii="Calibri" w:hAnsi="Calibri"/>
          <w:b/>
          <w:color w:val="0B2545"/>
          <w:sz w:val="20"/>
        </w:rPr>
        <w:t xml:space="preserve">Incident first documented: </w:t>
      </w:r>
      <w:r>
        <w:rPr>
          <w:rFonts w:ascii="Calibri" w:hAnsi="Calibri"/>
          <w:color w:val="222222"/>
          <w:sz w:val="20"/>
        </w:rPr>
        <w:t>18 August 2026</w:t>
      </w:r>
    </w:p>
    <w:p>
      <w:pPr>
        <w:spacing w:before="0" w:after="40" w:line="240" w:lineRule="auto"/>
      </w:pPr>
      <w:r>
        <w:rPr>
          <w:rFonts w:ascii="Calibri" w:hAnsi="Calibri"/>
          <w:b/>
          <w:color w:val="0B2545"/>
          <w:sz w:val="20"/>
        </w:rPr>
        <w:t xml:space="preserve">Resolution status: </w:t>
      </w:r>
      <w:r>
        <w:rPr>
          <w:rFonts w:ascii="Calibri" w:hAnsi="Calibri"/>
          <w:color w:val="222222"/>
          <w:sz w:val="20"/>
        </w:rPr>
        <w:t>Resolved — validated in development, then implemented and verified in production</w:t>
      </w:r>
    </w:p>
    <w:p>
      <w:pPr>
        <w:spacing w:before="140" w:after="200"/>
        <w:pBdr>
          <w:bottom w:val="single" w:sz="14" w:space="3" w:color="2E74B5"/>
        </w:pBdr>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val="clear"/>
            <w:tcBorders>
              <w:left w:val="single" w:sz="22" w:color="2E74B5"/>
            </w:tcBorders>
          </w:tcPr>
          <w:p>
            <w:pPr>
              <w:spacing w:before="20" w:after="20" w:line="259" w:lineRule="auto"/>
            </w:pPr>
            <w:r>
              <w:rPr>
                <w:rFonts w:ascii="Calibri" w:hAnsi="Calibri"/>
                <w:b/>
                <w:color w:val="0B2545"/>
                <w:sz w:val="21"/>
              </w:rPr>
              <w:t xml:space="preserve">Management takeaway: </w:t>
            </w:r>
            <w:r>
              <w:rPr>
                <w:rFonts w:ascii="Calibri" w:hAnsi="Calibri"/>
                <w:color w:val="222222"/>
                <w:sz w:val="21"/>
              </w:rPr>
              <w:t>Multi-GPU inference was blocked by a missing per-vGPU Unified Virtual Memory (UVM) setting in the VMware VM configuration. The GPUs, guest drivers, network transport, and model container were operational. Enabling UVM on every attached vGPU, with a full VM power cycle, removed the NCCL initialization failure. The change was first proven on the development GPU server and then replicated successfully on the production GPU server.</w:t>
            </w:r>
          </w:p>
        </w:tc>
      </w:tr>
    </w:tbl>
    <w:p>
      <w:pPr>
        <w:spacing w:after="40"/>
      </w:pPr>
    </w:p>
    <w:p>
      <w:pPr>
        <w:pStyle w:val="Heading1"/>
      </w:pPr>
      <w:r>
        <w:t>1. Executive summary</w:t>
      </w:r>
    </w:p>
    <w:p>
      <w:r>
        <w:t>The production GPU host exposes four NVIDIA H200-141C vGPU devices, each with approximately 141 GiB of framebuffer. Single-GPU inference operated normally, but any workload configured for tensor parallelism across more than one vGPU failed while NVIDIA Collective Communications Library (NCCL) was creating the communicator. The failure occurred before model weights were loaded and presented as a generic CUDA error: operation not supported.</w:t>
      </w:r>
    </w:p>
    <w:p>
      <w:r>
        <w:t>The initial investigation correctly demonstrated that the failure was not explained by GPU visibility, advertised topology, network bootstrap, container permissions, the vLLM process model, or a specific model image. The first technical escalation interpreted the failing CUDA call as an inter-process communication (IPC) restriction between vGPU devices. NVIDIA Enterprise Support subsequently mapped the reported NCCL source line to the actual operation and corrected the interpretation: NCCL 2.28.9 was failing during local creation of a CUDA stream-ordered memory pool in commAlloc(), not during an IPC memory-handle exchange.</w:t>
      </w:r>
    </w:p>
    <w:p>
      <w:r>
        <w:t>NVIDIA documents that NCCL 2.23 and later use CUDA memory pools and that this capability depends on UVM being available in virtualized environments. NVIDIA also documents that UVM is disabled by default for vGPU and must be enabled individually for each vGPU. The VM was missing those settings. The VM team powered the VM off, enabled UVM for all four assigned vGPUs, and powered it back on. After the configuration passed on the development server, the same controlled change was applied to cbq2-svd-dsgpu2 and production multi-GPU inference completed successfully. [1][2][3]</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A" w:val="clear"/>
            <w:tcBorders>
              <w:left w:val="single" w:sz="22" w:color="4F7F52"/>
            </w:tcBorders>
          </w:tcPr>
          <w:p>
            <w:pPr>
              <w:spacing w:before="20" w:after="20" w:line="259" w:lineRule="auto"/>
            </w:pPr>
            <w:r>
              <w:rPr>
                <w:rFonts w:ascii="Calibri" w:hAnsi="Calibri"/>
                <w:b/>
                <w:color w:val="0B2545"/>
                <w:sz w:val="21"/>
              </w:rPr>
              <w:t xml:space="preserve">Outcome: </w:t>
            </w:r>
            <w:r>
              <w:rPr>
                <w:rFonts w:ascii="Calibri" w:hAnsi="Calibri"/>
                <w:color w:val="222222"/>
                <w:sz w:val="21"/>
              </w:rPr>
              <w:t>The practical one-vGPU ceiling was removed for tensor-parallel workloads. Models may now be sharded across multiple assigned vGPUs, subject to model profile, framework overhead, KV-cache requirements, and normal capacity validation. The four devices should not be described as one contiguous 564 GiB allocation; the recovered capability is distributed execution across those devices.</w:t>
            </w:r>
          </w:p>
        </w:tc>
      </w:tr>
    </w:tbl>
    <w:p>
      <w:pPr>
        <w:spacing w:after="40"/>
      </w:pPr>
    </w:p>
    <w:p>
      <w:pPr>
        <w:pStyle w:val="Heading1"/>
      </w:pPr>
      <w:r>
        <w:t>2. Incident context and impact</w:t>
      </w:r>
    </w:p>
    <w:p>
      <w:pPr>
        <w:pStyle w:val="Heading2"/>
      </w:pPr>
      <w:r>
        <w:t>2.1 Affected environment</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9"/>
              </w:rPr>
              <w:t>Component</w:t>
            </w:r>
          </w:p>
        </w:tc>
        <w:tc>
          <w:tcPr>
            <w:tcW w:type="dxa" w:w="72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9"/>
              </w:rPr>
              <w:t>Observed configuration</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Production host</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cbq2-svd-dsgpu2 (10.1.94.110)</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Virtualization</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VMware ESXi 8.0.3; RHEL 9 Linux guest</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GPU assignment</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Four H200-141C full-framebuffer, time-sliced vGPU profiles</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Framebuffer</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144,384 MiB per vGPU; approximately 564 GiB total across four devices</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Software path</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NVIDIA NIM model-free container, vLLM, NCCL 2.28.9+cuda13.0</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CUDA driver reported</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cudaDriverVersion 13000</w:t>
            </w:r>
          </w:p>
        </w:tc>
      </w:tr>
      <w:tr>
        <w:tc>
          <w:tcPr>
            <w:tcW w:type="dxa" w:w="2160"/>
            <w:tcMar>
              <w:top w:w="80" w:type="dxa"/>
              <w:start w:w="120" w:type="dxa"/>
              <w:bottom w:w="80" w:type="dxa"/>
              <w:end w:w="120" w:type="dxa"/>
            </w:tcMar>
            <w:vAlign w:val="center"/>
          </w:tcPr>
          <w:p>
            <w:pPr>
              <w:spacing w:before="0" w:after="40" w:line="240" w:lineRule="auto"/>
            </w:pPr>
            <w:r>
              <w:rPr>
                <w:rFonts w:ascii="Calibri" w:hAnsi="Calibri"/>
                <w:b w:val="0"/>
                <w:color w:val="222222"/>
                <w:sz w:val="19"/>
              </w:rPr>
              <w:t>Licensing</w:t>
            </w:r>
          </w:p>
        </w:tc>
        <w:tc>
          <w:tcPr>
            <w:tcW w:type="dxa" w:w="7200"/>
            <w:tcMar>
              <w:top w:w="80" w:type="dxa"/>
              <w:start w:w="120" w:type="dxa"/>
              <w:bottom w:w="80" w:type="dxa"/>
              <w:end w:w="120" w:type="dxa"/>
            </w:tcMar>
            <w:vAlign w:val="center"/>
          </w:tcPr>
          <w:p>
            <w:pPr>
              <w:spacing w:before="0" w:after="40" w:line="240" w:lineRule="auto"/>
            </w:pPr>
            <w:r>
              <w:rPr>
                <w:rFonts w:ascii="Calibri" w:hAnsi="Calibri"/>
                <w:b w:val="0"/>
                <w:color w:val="222222"/>
                <w:sz w:val="19"/>
              </w:rPr>
              <w:t>Four of four vGPUs reported as licensed in the supplied host evidence</w:t>
            </w:r>
          </w:p>
        </w:tc>
      </w:tr>
    </w:tbl>
    <w:p>
      <w:pPr>
        <w:spacing w:after="40"/>
      </w:pPr>
    </w:p>
    <w:p>
      <w:r>
        <w:t>NVIDIA's current support matrix lists H200-141C as a 141 GB, one-vGPU-per-GPU time-sliced compute profile and explicitly lists H200-141C as supporting UVM. [4][5]</w:t>
      </w:r>
    </w:p>
    <w:p>
      <w:pPr>
        <w:pStyle w:val="Heading2"/>
      </w:pPr>
      <w:r>
        <w:t>2.2 User-visible and business impact</w:t>
      </w:r>
    </w:p>
    <w:p>
      <w:pPr>
        <w:spacing w:after="160" w:line="280" w:lineRule="auto"/>
        <w:numPr>
          <w:ilvl w:val="0"/>
          <w:numId w:val="10"/>
        </w:numPr>
      </w:pPr>
      <w:r>
        <w:rPr>
          <w:rFonts w:ascii="Calibri" w:hAnsi="Calibri"/>
          <w:color w:val="222222"/>
          <w:sz w:val="22"/>
        </w:rPr>
        <w:t>Single-GPU model services remained available, so the platform did not appear generally unhealthy.</w:t>
      </w:r>
    </w:p>
    <w:p>
      <w:pPr>
        <w:spacing w:after="160" w:line="280" w:lineRule="auto"/>
        <w:numPr>
          <w:ilvl w:val="0"/>
          <w:numId w:val="10"/>
        </w:numPr>
      </w:pPr>
      <w:r>
        <w:rPr>
          <w:rFonts w:ascii="Calibri" w:hAnsi="Calibri"/>
          <w:color w:val="222222"/>
          <w:sz w:val="22"/>
        </w:rPr>
        <w:t>Any tensor-parallel deployment using two or more vGPUs failed before model loading, preventing larger models from starting.</w:t>
      </w:r>
    </w:p>
    <w:p>
      <w:pPr>
        <w:spacing w:after="160" w:line="280" w:lineRule="auto"/>
        <w:numPr>
          <w:ilvl w:val="0"/>
          <w:numId w:val="10"/>
        </w:numPr>
      </w:pPr>
      <w:r>
        <w:rPr>
          <w:rFonts w:ascii="Calibri" w:hAnsi="Calibri"/>
          <w:color w:val="222222"/>
          <w:sz w:val="22"/>
        </w:rPr>
        <w:t>Operationally, the host behaved as four independent 141 GiB inference slots rather than a platform capable of distributing one model across several devices.</w:t>
      </w:r>
    </w:p>
    <w:p>
      <w:pPr>
        <w:spacing w:after="160" w:line="280" w:lineRule="auto"/>
        <w:numPr>
          <w:ilvl w:val="0"/>
          <w:numId w:val="10"/>
        </w:numPr>
      </w:pPr>
      <w:r>
        <w:rPr>
          <w:rFonts w:ascii="Calibri" w:hAnsi="Calibri"/>
          <w:color w:val="222222"/>
          <w:sz w:val="22"/>
        </w:rPr>
        <w:t>NVIDIA NIM profiles that require tensor parallelism could not be used even when aggregate framebuffer capacity was sufficient.</w:t>
      </w:r>
    </w:p>
    <w:p>
      <w:pPr>
        <w:spacing w:after="160" w:line="280" w:lineRule="auto"/>
        <w:numPr>
          <w:ilvl w:val="0"/>
          <w:numId w:val="10"/>
        </w:numPr>
      </w:pPr>
      <w:r>
        <w:rPr>
          <w:rFonts w:ascii="Calibri" w:hAnsi="Calibri"/>
          <w:color w:val="222222"/>
          <w:sz w:val="22"/>
        </w:rPr>
        <w:t>Capacity planning risked understating the platform by approximately three of the four assigned vGPU framebuffers for any single distributed workload.</w:t>
      </w:r>
    </w:p>
    <w:p>
      <w:pPr>
        <w:pStyle w:val="Heading1"/>
      </w:pPr>
      <w:r>
        <w:t>3. Failure signature</w:t>
      </w:r>
    </w:p>
    <w:p>
      <w:r>
        <w:t>The failure reproduced on more than one rank during NCCL communicator initialization. The relevant log sequence was:</w:t>
      </w:r>
    </w:p>
    <w:p>
      <w:pPr>
        <w:pStyle w:val="CodeBlock"/>
        <w:shd w:fill="F5F7FA" w:val="clear"/>
      </w:pPr>
      <w:r>
        <w:rPr>
          <w:rFonts w:ascii="Consolas" w:hAnsi="Consolas"/>
          <w:color w:val="0B2545"/>
          <w:sz w:val="18"/>
        </w:rPr>
        <w:t>NCCL version 2.28.9+cuda13.0</w:t>
        <w:br/>
        <w:t>NET/IB : No device found.</w:t>
        <w:br/>
        <w:t>NET/Socket : Using [0]eth0:10.89.0.9&lt;0&gt;</w:t>
        <w:br/>
        <w:t>Initialized NET plugin Socket</w:t>
        <w:br/>
        <w:t>Using network Socket</w:t>
        <w:br/>
        <w:t>init.cc:491 NCCL WARN Cuda failure 'operation not supported'</w:t>
        <w:br/>
        <w:t>RuntimeError: NCCL error: unhandled cuda error</w:t>
      </w:r>
    </w:p>
    <w:p>
      <w:r>
        <w:t>The ordering matters. Socket bootstrap and transport selection completed before the CUDA warning. The application therefore reached NCCL successfully, and the failure was raised by a subsequent CUDA capability call during communicator construction. No model weights had been loaded at this point.</w:t>
      </w:r>
    </w:p>
    <w:p>
      <w:pPr>
        <w:pStyle w:val="Heading1"/>
      </w:pPr>
      <w:r>
        <w:t>4. Investigation approach and evidence</w:t>
      </w:r>
    </w:p>
    <w:p>
      <w:r>
        <w:t>AI Engineering used a controlled elimination approach rather than treating the first error string as conclusive. Each test changed one layer while retaining the same failing workload. This produced an escalation package containing application logs, guest diagnostics, GPU topology output, container configuration, and the ESXi bug report. That evidence allowed NVIDIA to correlate the exact NCCL source location with the VM capability that was absent.</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Area tested</w:t>
            </w:r>
          </w:p>
        </w:tc>
        <w:tc>
          <w:tcPr>
            <w:tcW w:type="dxa" w:w="378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Evidence collected</w:t>
            </w:r>
          </w:p>
        </w:tc>
        <w:tc>
          <w:tcPr>
            <w:tcW w:type="dxa" w:w="378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What it established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GPU visibility and topology</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nvidia-smi topology showed NV6 links; read P2P checks returned OK in each direction; all assigned devices were visible.</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guest could enumerate the GPUs and advertised topology; device absence was not the cause.</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NCCL transport</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test was repeated with P2P, shared memory, and CUDA VMM-related paths disabled; NCCL selected Socket and failed at the same source line.</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Transport selection was not the failing stage.</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Process model</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vLLM spawn, legacy V0 mode, and Ray distributed execution produced the same error.</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Worker orchestration was not the root cause.</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Application image</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workload used NVIDIA's model-free NIM image with NVIDIA NCCL and vLLM.</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failure was below the model/application layer.</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Container access</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Both devices were passed through explicitly; host IPC was enabled; single-GPU workloads on each device worked.</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Container visibility and basic permissions were sufficient.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Estate pattern</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Existing services on the host had historically run at TP=1.</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issue was systemic to multi-GPU initialization, not tied to one new model.</w:t>
            </w:r>
          </w:p>
        </w:tc>
      </w:tr>
    </w:tbl>
    <w:p>
      <w:pPr>
        <w:spacing w:after="40"/>
      </w:pPr>
    </w:p>
    <w:p>
      <w:r>
        <w:t>An important distinction emerged from these tests: topology tools describe what the virtual device presents, but they do not prove that every CUDA memory-management capability required by a particular library is enabled. Runtime capability checks remain necessary.</w:t>
      </w:r>
    </w:p>
    <w:p>
      <w:pPr>
        <w:pStyle w:val="Heading1"/>
      </w:pPr>
      <w:r>
        <w:t>5. Diagnosis correction</w:t>
      </w:r>
    </w:p>
    <w:p>
      <w:r>
        <w:t>The initial report attributed the warning near init.cc:491 to CUDA IPC between vGPU slices. NVIDIA's line-level review showed that this was not the operation at that location in NCCL 2.28.9. The corrected interpretation is materially different and more precise.</w:t>
      </w:r>
    </w:p>
    <w:tbl>
      <w:tblPr>
        <w:tblStyle w:val="TableGrid"/>
        <w:tblW w:type="dxa" w:w="9360"/>
        <w:jc w:val="left"/>
        <w:tblLayout w:type="fixed"/>
        <w:tblLook w:firstColumn="1" w:firstRow="1" w:lastColumn="0" w:lastRow="0" w:noHBand="0" w:noVBand="1" w:val="04A0"/>
        <w:tblInd w:w="120" w:type="dxa"/>
      </w:tblPr>
      <w:tblGrid>
        <w:gridCol w:w="2100"/>
        <w:gridCol w:w="3480"/>
        <w:gridCol w:w="3780"/>
      </w:tblGrid>
      <w:tr>
        <w:trPr>
          <w:tblHeader w:val="true"/>
        </w:trPr>
        <w:tc>
          <w:tcPr>
            <w:tcW w:type="dxa" w:w="21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Observation</w:t>
            </w:r>
          </w:p>
        </w:tc>
        <w:tc>
          <w:tcPr>
            <w:tcW w:type="dxa" w:w="348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Initial interpretation</w:t>
            </w:r>
          </w:p>
        </w:tc>
        <w:tc>
          <w:tcPr>
            <w:tcW w:type="dxa" w:w="378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Corrected interpretation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22222"/>
                <w:sz w:val="17"/>
              </w:rPr>
              <w:t>init.cc:491 reported operation not supported</w:t>
            </w:r>
          </w:p>
        </w:tc>
        <w:tc>
          <w:tcPr>
            <w:tcW w:type="dxa" w:w="34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vGPU driver rejected an IPC memory-handle exchange.</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NCCL was creating a local CUDA memory pool inside commAlloc().</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pool requested no exportable handle</w:t>
            </w:r>
          </w:p>
        </w:tc>
        <w:tc>
          <w:tcPr>
            <w:tcW w:type="dxa" w:w="3480"/>
            <w:tcMar>
              <w:top w:w="80" w:type="dxa"/>
              <w:start w:w="120" w:type="dxa"/>
              <w:bottom w:w="80" w:type="dxa"/>
              <w:end w:w="120" w:type="dxa"/>
            </w:tcMar>
            <w:vAlign w:val="center"/>
          </w:tcPr>
          <w:p>
            <w:pPr>
              <w:spacing w:before="0" w:after="40" w:line="240" w:lineRule="auto"/>
            </w:pPr>
            <w:r>
              <w:rPr>
                <w:rFonts w:ascii="Calibri" w:hAnsi="Calibri"/>
                <w:b w:val="0"/>
                <w:color w:val="222222"/>
                <w:sz w:val="17"/>
              </w:rPr>
              <w:t>IPC was assumed from the multi-rank context.</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source sets handleTypes to cudaMemHandleTypeNone; the failing call was local, not an IPC handle exchange.</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22222"/>
                <w:sz w:val="17"/>
              </w:rPr>
              <w:t>NCCL had already printed Using network Socket</w:t>
            </w:r>
          </w:p>
        </w:tc>
        <w:tc>
          <w:tcPr>
            <w:tcW w:type="dxa" w:w="34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fallback transport might still be failing.</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Socket selection succeeded; the independent CUDA memory-pool capability check failed afterward.</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22222"/>
                <w:sz w:val="17"/>
              </w:rPr>
              <w:t>P2P, SHM, and CUMEM toggles did not help</w:t>
            </w:r>
          </w:p>
        </w:tc>
        <w:tc>
          <w:tcPr>
            <w:tcW w:type="dxa" w:w="3480"/>
            <w:tcMar>
              <w:top w:w="80" w:type="dxa"/>
              <w:start w:w="120" w:type="dxa"/>
              <w:bottom w:w="80" w:type="dxa"/>
              <w:end w:w="120" w:type="dxa"/>
            </w:tcMar>
            <w:vAlign w:val="center"/>
          </w:tcPr>
          <w:p>
            <w:pPr>
              <w:spacing w:before="0" w:after="40" w:line="240" w:lineRule="auto"/>
            </w:pPr>
            <w:r>
              <w:rPr>
                <w:rFonts w:ascii="Calibri" w:hAnsi="Calibri"/>
                <w:b w:val="0"/>
                <w:color w:val="222222"/>
                <w:sz w:val="17"/>
              </w:rPr>
              <w:t>The virtualized platform might block all cross-device paths.</w:t>
            </w:r>
          </w:p>
        </w:tc>
        <w:tc>
          <w:tcPr>
            <w:tcW w:type="dxa" w:w="3780"/>
            <w:tcMar>
              <w:top w:w="80" w:type="dxa"/>
              <w:start w:w="120" w:type="dxa"/>
              <w:bottom w:w="80" w:type="dxa"/>
              <w:end w:w="120" w:type="dxa"/>
            </w:tcMar>
            <w:vAlign w:val="center"/>
          </w:tcPr>
          <w:p>
            <w:pPr>
              <w:spacing w:before="0" w:after="40" w:line="240" w:lineRule="auto"/>
            </w:pPr>
            <w:r>
              <w:rPr>
                <w:rFonts w:ascii="Calibri" w:hAnsi="Calibri"/>
                <w:b w:val="0"/>
                <w:color w:val="222222"/>
                <w:sz w:val="17"/>
              </w:rPr>
              <w:t>Those toggles do not gate the local cudaMemPoolCreate call used in communicator allocation.</w:t>
            </w:r>
          </w:p>
        </w:tc>
      </w:tr>
    </w:tbl>
    <w:p>
      <w:pPr>
        <w:spacing w:after="40"/>
      </w:pPr>
    </w:p>
    <w:p>
      <w:pPr>
        <w:pStyle w:val="Heading2"/>
      </w:pPr>
      <w:r>
        <w:t>5.1 Why the original testing remained valuable</w:t>
      </w:r>
    </w:p>
    <w:p>
      <w:r>
        <w:t>The correction refined the causal explanation; it did not invalidate the elimination work. The tests established that the application reached NCCL, that transport selection was functional, that the failure was independent of the vLLM execution model, and that single-device CUDA operation was healthy. By providing both guest- and host-side evidence, the team reduced the remaining search space to a virtualization-exposed CUDA capability and enabled NVIDIA to identify the exact setting quickly.</w:t>
      </w:r>
    </w:p>
    <w:p>
      <w:pPr>
        <w:pStyle w:val="Heading1"/>
      </w:pPr>
      <w:r>
        <w:t>6. Root cause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val="clear"/>
            <w:tcBorders>
              <w:left w:val="single" w:sz="22" w:color="A67C00"/>
            </w:tcBorders>
          </w:tcPr>
          <w:p>
            <w:pPr>
              <w:spacing w:before="20" w:after="20" w:line="259" w:lineRule="auto"/>
            </w:pPr>
            <w:r>
              <w:rPr>
                <w:rFonts w:ascii="Calibri" w:hAnsi="Calibri"/>
                <w:b/>
                <w:color w:val="0B2545"/>
                <w:sz w:val="21"/>
              </w:rPr>
              <w:t xml:space="preserve">Root cause: </w:t>
            </w:r>
            <w:r>
              <w:rPr>
                <w:rFonts w:ascii="Calibri" w:hAnsi="Calibri"/>
                <w:color w:val="222222"/>
                <w:sz w:val="21"/>
              </w:rPr>
              <w:t>Unified Virtual Memory was disabled for the vGPUs assigned to the VM. NCCL 2.28.9 unconditionally attempted to create a CUDA memory pool during communicator allocation. In this vGPU configuration, the required memory-pool capability was unavailable without UVM, so the CUDA runtime returned operation not supported and NCCL aborted initialization.</w:t>
            </w:r>
          </w:p>
        </w:tc>
      </w:tr>
    </w:tbl>
    <w:p>
      <w:pPr>
        <w:spacing w:after="40"/>
      </w:pPr>
    </w:p>
    <w:p>
      <w:pPr>
        <w:pStyle w:val="Heading2"/>
      </w:pPr>
      <w:r>
        <w:t>6.1 Failure chain</w:t>
      </w:r>
    </w:p>
    <w:p>
      <w:pPr>
        <w:spacing w:after="160" w:line="280" w:lineRule="auto"/>
        <w:numPr>
          <w:ilvl w:val="0"/>
          <w:numId w:val="11"/>
        </w:numPr>
      </w:pPr>
      <w:r>
        <w:rPr>
          <w:rFonts w:ascii="Calibri" w:hAnsi="Calibri"/>
          <w:color w:val="222222"/>
          <w:sz w:val="22"/>
        </w:rPr>
        <w:t>A tensor-parallel vLLM/NIM launch created multiple NCCL ranks and requested an NCCL communicator.</w:t>
      </w:r>
    </w:p>
    <w:p>
      <w:pPr>
        <w:spacing w:after="160" w:line="280" w:lineRule="auto"/>
        <w:numPr>
          <w:ilvl w:val="0"/>
          <w:numId w:val="11"/>
        </w:numPr>
      </w:pPr>
      <w:r>
        <w:rPr>
          <w:rFonts w:ascii="Calibri" w:hAnsi="Calibri"/>
          <w:color w:val="222222"/>
          <w:sz w:val="22"/>
        </w:rPr>
        <w:t>During local communicator allocation, NCCL prepared a device-local CUDA memory pool. The relevant source configures a pinned allocation, no exportable IPC handle, and the current CUDA device, then calls cudaMemPoolCreate().</w:t>
      </w:r>
    </w:p>
    <w:p>
      <w:pPr>
        <w:spacing w:after="160" w:line="280" w:lineRule="auto"/>
        <w:numPr>
          <w:ilvl w:val="0"/>
          <w:numId w:val="11"/>
        </w:numPr>
      </w:pPr>
      <w:r>
        <w:rPr>
          <w:rFonts w:ascii="Calibri" w:hAnsi="Calibri"/>
          <w:color w:val="222222"/>
          <w:sz w:val="22"/>
        </w:rPr>
        <w:t>NVIDIA documents that NCCL has used CUDA memory pools for graph-capture optimization since version 2.23 and that this feature relies on UVM. [1]</w:t>
      </w:r>
    </w:p>
    <w:p>
      <w:pPr>
        <w:spacing w:after="160" w:line="280" w:lineRule="auto"/>
        <w:numPr>
          <w:ilvl w:val="0"/>
          <w:numId w:val="11"/>
        </w:numPr>
      </w:pPr>
      <w:r>
        <w:rPr>
          <w:rFonts w:ascii="Calibri" w:hAnsi="Calibri"/>
          <w:color w:val="222222"/>
          <w:sz w:val="22"/>
        </w:rPr>
        <w:t>The VM's vGPU devices did not expose the required capability because UVM is disabled by default and had not been enabled individually for the four vGPUs. [2][3]</w:t>
      </w:r>
    </w:p>
    <w:p>
      <w:pPr>
        <w:spacing w:after="160" w:line="280" w:lineRule="auto"/>
        <w:numPr>
          <w:ilvl w:val="0"/>
          <w:numId w:val="11"/>
        </w:numPr>
      </w:pPr>
      <w:r>
        <w:rPr>
          <w:rFonts w:ascii="Calibri" w:hAnsi="Calibri"/>
          <w:color w:val="222222"/>
          <w:sz w:val="22"/>
        </w:rPr>
        <w:t>CUDA returned the generic operation not supported error. NCCL surfaced it as an unhandled CUDA error, and vLLM stopped before loading the model.</w:t>
      </w:r>
    </w:p>
    <w:p>
      <w:pPr>
        <w:pStyle w:val="Heading2"/>
      </w:pPr>
      <w:r>
        <w:t>6.2 Corroborating host evidence</w:t>
      </w:r>
    </w:p>
    <w:p>
      <w:r>
        <w:t>The supplied ESXi bug report showed vGPU migration enabled for all four vGPUs. NVIDIA support used this as corroboration because enabling UVM disables vGPU migration for the VM. This was consistent with the UVM setting not having been applied. NVIDIA's current guidance likewise states that UVM is disabled by default, must be enabled per vGPU, and disables vGPU migration when enabled. [2]</w:t>
      </w:r>
    </w:p>
    <w:p>
      <w:pPr>
        <w:pStyle w:val="Heading2"/>
      </w:pPr>
      <w:r>
        <w:t>6.3 Why the attempted workarounds had no effect</w:t>
      </w:r>
    </w:p>
    <w:p>
      <w:pPr>
        <w:spacing w:after="160" w:line="280" w:lineRule="auto"/>
        <w:numPr>
          <w:ilvl w:val="0"/>
          <w:numId w:val="10"/>
        </w:numPr>
      </w:pPr>
      <w:r>
        <w:rPr>
          <w:rFonts w:ascii="Calibri" w:hAnsi="Calibri"/>
          <w:b/>
          <w:color w:val="222222"/>
          <w:sz w:val="22"/>
        </w:rPr>
        <w:t>NCCL_P2P_DISABLE=1</w:t>
      </w:r>
      <w:r>
        <w:rPr>
          <w:rFonts w:ascii="Calibri" w:hAnsi="Calibri"/>
          <w:color w:val="222222"/>
          <w:sz w:val="22"/>
        </w:rPr>
        <w:t xml:space="preserve"> changes direct GPU-to-GPU transport behavior; it does not bypass local communicator memory-pool creation.</w:t>
      </w:r>
    </w:p>
    <w:p>
      <w:pPr>
        <w:spacing w:after="160" w:line="280" w:lineRule="auto"/>
        <w:numPr>
          <w:ilvl w:val="0"/>
          <w:numId w:val="10"/>
        </w:numPr>
      </w:pPr>
      <w:r>
        <w:rPr>
          <w:rFonts w:ascii="Calibri" w:hAnsi="Calibri"/>
          <w:b/>
          <w:color w:val="222222"/>
          <w:sz w:val="22"/>
        </w:rPr>
        <w:t>NCCL_SHM_DISABLE=1</w:t>
      </w:r>
      <w:r>
        <w:rPr>
          <w:rFonts w:ascii="Calibri" w:hAnsi="Calibri"/>
          <w:color w:val="222222"/>
          <w:sz w:val="22"/>
        </w:rPr>
        <w:t xml:space="preserve"> changes shared-memory transport; it does not change the CUDA device capability reported to cudaMemPoolCreate().</w:t>
      </w:r>
    </w:p>
    <w:p>
      <w:pPr>
        <w:spacing w:after="160" w:line="280" w:lineRule="auto"/>
        <w:numPr>
          <w:ilvl w:val="0"/>
          <w:numId w:val="10"/>
        </w:numPr>
      </w:pPr>
      <w:r>
        <w:rPr>
          <w:rFonts w:ascii="Calibri" w:hAnsi="Calibri"/>
          <w:b/>
          <w:color w:val="222222"/>
          <w:sz w:val="22"/>
        </w:rPr>
        <w:t>NCCL_CUMEM_ENABLE=0</w:t>
      </w:r>
      <w:r>
        <w:rPr>
          <w:rFonts w:ascii="Calibri" w:hAnsi="Calibri"/>
          <w:color w:val="222222"/>
          <w:sz w:val="22"/>
        </w:rPr>
        <w:t xml:space="preserve"> controls a separate CUDA virtual-memory allocation path; it does not disable the stream-ordered memory-pool creation in commAlloc().</w:t>
      </w:r>
    </w:p>
    <w:p>
      <w:pPr>
        <w:spacing w:after="160" w:line="280" w:lineRule="auto"/>
        <w:numPr>
          <w:ilvl w:val="0"/>
          <w:numId w:val="10"/>
        </w:numPr>
      </w:pPr>
      <w:r>
        <w:rPr>
          <w:rFonts w:ascii="Calibri" w:hAnsi="Calibri"/>
          <w:color w:val="222222"/>
          <w:sz w:val="22"/>
        </w:rPr>
        <w:t>Changing vLLM multiprocessing or the distributed executor still requires every NCCL rank to initialize its communicator, so the same local call failed.</w:t>
      </w:r>
    </w:p>
    <w:p>
      <w:pPr>
        <w:spacing w:after="160" w:line="280" w:lineRule="auto"/>
        <w:numPr>
          <w:ilvl w:val="0"/>
          <w:numId w:val="10"/>
        </w:numPr>
      </w:pPr>
      <w:r>
        <w:rPr>
          <w:rFonts w:ascii="Calibri" w:hAnsi="Calibri"/>
          <w:color w:val="222222"/>
          <w:sz w:val="22"/>
        </w:rPr>
        <w:t>Changing NCCL transport did not help because the failing capability check occurred independently of the selected data path.</w:t>
      </w:r>
    </w:p>
    <w:p>
      <w:pPr>
        <w:pStyle w:val="Heading1"/>
      </w:pPr>
      <w:r>
        <w:t>7. Corrective action</w:t>
      </w:r>
    </w:p>
    <w:p>
      <w:pPr>
        <w:pStyle w:val="Heading2"/>
      </w:pPr>
      <w:r>
        <w:t>7.1 Primary VM configuration change</w:t>
      </w:r>
    </w:p>
    <w:p>
      <w:r>
        <w:t>The VM team fully powered off the virtual machine and enabled UVM once for each attached vGPU by adding the following advanced VM parameters:</w:t>
      </w:r>
    </w:p>
    <w:p>
      <w:pPr>
        <w:pStyle w:val="CodeBlock"/>
        <w:shd w:fill="F5F7FA" w:val="clear"/>
      </w:pPr>
      <w:r>
        <w:rPr>
          <w:rFonts w:ascii="Consolas" w:hAnsi="Consolas"/>
          <w:color w:val="0B2545"/>
          <w:sz w:val="18"/>
        </w:rPr>
        <w:t>pciPassthru0.cfg.enable_uvm = 1</w:t>
        <w:br/>
        <w:t>pciPassthru1.cfg.enable_uvm = 1</w:t>
        <w:br/>
        <w:t>pciPassthru2.cfg.enable_uvm = 1</w:t>
        <w:br/>
        <w:t>pciPassthru3.cfg.enable_uvm = 1</w:t>
      </w:r>
    </w:p>
    <w:p>
      <w:r>
        <w:t>NVIDIA's VMware guidance requires the VM to be powered off and the parameter to be set for each vGPU. A guest operating-system reboot alone is not the required configuration transition. [3]</w:t>
      </w:r>
    </w:p>
    <w:p>
      <w:pPr>
        <w:pStyle w:val="Heading2"/>
      </w:pPr>
      <w:r>
        <w:t>7.2 Related address-space check</w:t>
      </w:r>
    </w:p>
    <w:p>
      <w:r>
        <w:t>While the VM was offline, the VM configuration was also reviewed for 64-bit MMIO headroom appropriate to four large-framebuffer vGPUs. The settings supplied by NVIDIA for confirmation were:</w:t>
      </w:r>
    </w:p>
    <w:p>
      <w:pPr>
        <w:pStyle w:val="CodeBlock"/>
        <w:shd w:fill="F5F7FA" w:val="clear"/>
      </w:pPr>
      <w:r>
        <w:rPr>
          <w:rFonts w:ascii="Consolas" w:hAnsi="Consolas"/>
          <w:color w:val="0B2545"/>
          <w:sz w:val="18"/>
        </w:rPr>
        <w:t>pciPassthru.use64bitMMIO    = TRUE</w:t>
        <w:br/>
        <w:t>pciPassthru.64bitMMIOSizeGB = 1024</w:t>
      </w:r>
    </w:p>
    <w:p>
      <w:r>
        <w:t>These MMIO settings provide address-space headroom for the assigned devices. The decisive corrective action for the reported NCCL error was the per-vGPU UVM enablement; the MMIO values are recorded as an associated platform prerequisite and should remain part of the VM baseline.</w:t>
      </w:r>
    </w:p>
    <w:p>
      <w:pPr>
        <w:pStyle w:val="Heading2"/>
      </w:pPr>
      <w:r>
        <w:t>7.3 Controlled dev-to-production rollout</w:t>
      </w:r>
    </w:p>
    <w:tbl>
      <w:tblPr>
        <w:tblStyle w:val="TableGrid"/>
        <w:tblW w:type="dxa" w:w="9360"/>
        <w:jc w:val="left"/>
        <w:tblLayout w:type="fixed"/>
        <w:tblLook w:firstColumn="1" w:firstRow="1" w:lastColumn="0" w:lastRow="0" w:noHBand="0" w:noVBand="1" w:val="04A0"/>
        <w:tblInd w:w="120" w:type="dxa"/>
      </w:tblPr>
      <w:tblGrid>
        <w:gridCol w:w="1800"/>
        <w:gridCol w:w="2700"/>
        <w:gridCol w:w="3660"/>
        <w:gridCol w:w="1200"/>
      </w:tblGrid>
      <w:tr>
        <w:trPr>
          <w:tblHeader w:val="true"/>
        </w:trPr>
        <w:tc>
          <w:tcPr>
            <w:tcW w:type="dxa" w:w="18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Stage</w:t>
            </w:r>
          </w:p>
        </w:tc>
        <w:tc>
          <w:tcPr>
            <w:tcW w:type="dxa" w:w="27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Action</w:t>
            </w:r>
          </w:p>
        </w:tc>
        <w:tc>
          <w:tcPr>
            <w:tcW w:type="dxa" w:w="366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Acceptance criterion</w:t>
            </w:r>
          </w:p>
        </w:tc>
        <w:tc>
          <w:tcPr>
            <w:tcW w:type="dxa" w:w="12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Result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1. Development implementation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22222"/>
                <w:sz w:val="17"/>
              </w:rPr>
              <w:t>Apply the UVM settings to every vGPU on the development GPU VM and perform a full power-off/power-on cycle.</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222222"/>
                <w:sz w:val="17"/>
              </w:rPr>
              <w:t>VM returns healthy; all assigned vGPUs enumerate and remain licensed.</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22222"/>
                <w:sz w:val="17"/>
              </w:rPr>
              <w:t>Passed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2. Development functional test</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22222"/>
                <w:sz w:val="17"/>
              </w:rPr>
              <w:t>Run the multi-GPU/NCCL path and the tensor-parallel application workload.</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222222"/>
                <w:sz w:val="17"/>
              </w:rPr>
              <w:t>NCCL communicator initializes; the prior operation-not-supported error does not recur; workload starts successfully.</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22222"/>
                <w:sz w:val="17"/>
              </w:rPr>
              <w:t>Passed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3. Production change</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22222"/>
                <w:sz w:val="17"/>
              </w:rPr>
              <w:t>Replicate the validated parameter set on cbq2-svd-dsgpu2 during a controlled VM outage.</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222222"/>
                <w:sz w:val="17"/>
              </w:rPr>
              <w:t>Configuration matches the development implementation; VM powers on normally.</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22222"/>
                <w:sz w:val="17"/>
              </w:rPr>
              <w:t>Passed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4. Production verification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22222"/>
                <w:sz w:val="17"/>
              </w:rPr>
              <w:t>Repeat multi-GPU application validation on the production GPU host.</w:t>
            </w:r>
          </w:p>
        </w:tc>
        <w:tc>
          <w:tcPr>
            <w:tcW w:type="dxa" w:w="3660"/>
            <w:tcMar>
              <w:top w:w="80" w:type="dxa"/>
              <w:start w:w="120" w:type="dxa"/>
              <w:bottom w:w="80" w:type="dxa"/>
              <w:end w:w="120" w:type="dxa"/>
            </w:tcMar>
            <w:vAlign w:val="center"/>
          </w:tcPr>
          <w:p>
            <w:pPr>
              <w:spacing w:before="0" w:after="40" w:line="240" w:lineRule="auto"/>
            </w:pPr>
            <w:r>
              <w:rPr>
                <w:rFonts w:ascii="Calibri" w:hAnsi="Calibri"/>
                <w:b w:val="0"/>
                <w:color w:val="222222"/>
                <w:sz w:val="17"/>
              </w:rPr>
              <w:t>Tensor-parallel inference works and the original NCCL initialization failure is absent.</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22222"/>
                <w:sz w:val="17"/>
              </w:rPr>
              <w:t>Passed</w:t>
            </w:r>
          </w:p>
        </w:tc>
      </w:tr>
    </w:tbl>
    <w:p>
      <w:pPr>
        <w:spacing w:after="40"/>
      </w:pPr>
    </w:p>
    <w:p>
      <w:r>
        <w:t>The staged sequence limited production risk: the configuration was first proven under development conditions, and production received the same known-working change rather than an untested variant.</w:t>
      </w:r>
    </w:p>
    <w:p>
      <w:pPr>
        <w:pStyle w:val="Heading2"/>
      </w:pPr>
      <w:r>
        <w:t>7.4 Operational trade-off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val="clear"/>
            <w:tcBorders>
              <w:left w:val="single" w:sz="22" w:color="A67C00"/>
            </w:tcBorders>
          </w:tcPr>
          <w:p>
            <w:pPr>
              <w:spacing w:before="20" w:after="20" w:line="259" w:lineRule="auto"/>
            </w:pPr>
            <w:r>
              <w:rPr>
                <w:rFonts w:ascii="Calibri" w:hAnsi="Calibri"/>
                <w:b/>
                <w:color w:val="0B2545"/>
                <w:sz w:val="21"/>
              </w:rPr>
              <w:t xml:space="preserve">Infrastructure constraint: </w:t>
            </w:r>
            <w:r>
              <w:rPr>
                <w:rFonts w:ascii="Calibri" w:hAnsi="Calibri"/>
                <w:color w:val="222222"/>
                <w:sz w:val="21"/>
              </w:rPr>
              <w:t>Enabling UVM disables vGPU migration for the VM. The host should therefore be treated as non-live-migratable while UVM is enabled. DRS, vMotion-based maintenance, and any suspend/resume assumptions must be reviewed with the virtualization team; maintenance may require a planned shutdown or other approved procedure. [2][8]</w:t>
            </w:r>
          </w:p>
        </w:tc>
      </w:tr>
    </w:tbl>
    <w:p>
      <w:pPr>
        <w:spacing w:after="40"/>
      </w:pPr>
    </w:p>
    <w:p>
      <w:pPr>
        <w:pStyle w:val="Heading1"/>
      </w:pPr>
      <w:r>
        <w:t>8. Verification and final outcome</w:t>
      </w:r>
    </w:p>
    <w:p>
      <w:pPr>
        <w:pStyle w:val="Heading2"/>
      </w:pPr>
      <w:r>
        <w:t>8.1 Functional verification</w:t>
      </w:r>
    </w:p>
    <w:p>
      <w:r>
        <w:t>Application-level validation confirmed the fix. NCCL initialized and tensor-parallel inference passed first on the development GPU server and then after the identical production change. The prior warning at init.cc:491 did not recur.</w:t>
      </w:r>
    </w:p>
    <w:tbl>
      <w:tblPr>
        <w:tblStyle w:val="TableGrid"/>
        <w:tblW w:type="dxa" w:w="9360"/>
        <w:jc w:val="left"/>
        <w:tblLayout w:type="fixed"/>
        <w:tblLook w:firstColumn="1" w:firstRow="1" w:lastColumn="0" w:lastRow="0" w:noHBand="0" w:noVBand="1" w:val="04A0"/>
        <w:tblInd w:w="120" w:type="dxa"/>
      </w:tblPr>
      <w:tblGrid>
        <w:gridCol w:w="2460"/>
        <w:gridCol w:w="3300"/>
        <w:gridCol w:w="3600"/>
      </w:tblGrid>
      <w:tr>
        <w:trPr>
          <w:tblHeader w:val="true"/>
        </w:trPr>
        <w:tc>
          <w:tcPr>
            <w:tcW w:type="dxa" w:w="246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8"/>
              </w:rPr>
              <w:t>Capability</w:t>
            </w:r>
          </w:p>
        </w:tc>
        <w:tc>
          <w:tcPr>
            <w:tcW w:type="dxa" w:w="33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8"/>
              </w:rPr>
              <w:t>Before corrective action</w:t>
            </w:r>
          </w:p>
        </w:tc>
        <w:tc>
          <w:tcPr>
            <w:tcW w:type="dxa" w:w="36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8"/>
              </w:rPr>
              <w:t>After corrective action</w:t>
            </w:r>
          </w:p>
        </w:tc>
      </w:tr>
      <w:tr>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22222"/>
                <w:sz w:val="18"/>
              </w:rPr>
              <w:t>Single-GPU inference</w:t>
            </w:r>
          </w:p>
        </w:tc>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22222"/>
                <w:sz w:val="18"/>
              </w:rPr>
              <w:t>Working</w:t>
            </w:r>
          </w:p>
        </w:tc>
        <w:tc>
          <w:tcPr>
            <w:tcW w:type="dxa" w:w="3600"/>
            <w:tcMar>
              <w:top w:w="80" w:type="dxa"/>
              <w:start w:w="120" w:type="dxa"/>
              <w:bottom w:w="80" w:type="dxa"/>
              <w:end w:w="120" w:type="dxa"/>
            </w:tcMar>
            <w:vAlign w:val="center"/>
          </w:tcPr>
          <w:p>
            <w:pPr>
              <w:spacing w:before="0" w:after="40" w:line="240" w:lineRule="auto"/>
            </w:pPr>
            <w:r>
              <w:rPr>
                <w:rFonts w:ascii="Calibri" w:hAnsi="Calibri"/>
                <w:b w:val="0"/>
                <w:color w:val="222222"/>
                <w:sz w:val="18"/>
              </w:rPr>
              <w:t>Working</w:t>
            </w:r>
          </w:p>
        </w:tc>
      </w:tr>
      <w:tr>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22222"/>
                <w:sz w:val="18"/>
              </w:rPr>
              <w:t>NCCL multi-rank initialization</w:t>
            </w:r>
          </w:p>
        </w:tc>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22222"/>
                <w:sz w:val="18"/>
              </w:rPr>
              <w:t>Failed with operation not supported</w:t>
            </w:r>
          </w:p>
        </w:tc>
        <w:tc>
          <w:tcPr>
            <w:tcW w:type="dxa" w:w="3600"/>
            <w:tcMar>
              <w:top w:w="80" w:type="dxa"/>
              <w:start w:w="120" w:type="dxa"/>
              <w:bottom w:w="80" w:type="dxa"/>
              <w:end w:w="120" w:type="dxa"/>
            </w:tcMar>
            <w:vAlign w:val="center"/>
          </w:tcPr>
          <w:p>
            <w:pPr>
              <w:spacing w:before="0" w:after="40" w:line="240" w:lineRule="auto"/>
            </w:pPr>
            <w:r>
              <w:rPr>
                <w:rFonts w:ascii="Calibri" w:hAnsi="Calibri"/>
                <w:b w:val="0"/>
                <w:color w:val="222222"/>
                <w:sz w:val="18"/>
              </w:rPr>
              <w:t>Successful</w:t>
            </w:r>
          </w:p>
        </w:tc>
      </w:tr>
      <w:tr>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22222"/>
                <w:sz w:val="18"/>
              </w:rPr>
              <w:t>Tensor-parallel inference</w:t>
            </w:r>
          </w:p>
        </w:tc>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22222"/>
                <w:sz w:val="18"/>
              </w:rPr>
              <w:t>Blocked before model weight loading</w:t>
            </w:r>
          </w:p>
        </w:tc>
        <w:tc>
          <w:tcPr>
            <w:tcW w:type="dxa" w:w="3600"/>
            <w:tcMar>
              <w:top w:w="80" w:type="dxa"/>
              <w:start w:w="120" w:type="dxa"/>
              <w:bottom w:w="80" w:type="dxa"/>
              <w:end w:w="120" w:type="dxa"/>
            </w:tcMar>
            <w:vAlign w:val="center"/>
          </w:tcPr>
          <w:p>
            <w:pPr>
              <w:spacing w:before="0" w:after="40" w:line="240" w:lineRule="auto"/>
            </w:pPr>
            <w:r>
              <w:rPr>
                <w:rFonts w:ascii="Calibri" w:hAnsi="Calibri"/>
                <w:b w:val="0"/>
                <w:color w:val="222222"/>
                <w:sz w:val="18"/>
              </w:rPr>
              <w:t>Operational in development and production</w:t>
            </w:r>
          </w:p>
        </w:tc>
      </w:tr>
      <w:tr>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22222"/>
                <w:sz w:val="18"/>
              </w:rPr>
              <w:t>Usable model capacity</w:t>
            </w:r>
          </w:p>
        </w:tc>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22222"/>
                <w:sz w:val="18"/>
              </w:rPr>
              <w:t>Effectively limited to one 141 GiB vGPU per model</w:t>
            </w:r>
          </w:p>
        </w:tc>
        <w:tc>
          <w:tcPr>
            <w:tcW w:type="dxa" w:w="3600"/>
            <w:tcMar>
              <w:top w:w="80" w:type="dxa"/>
              <w:start w:w="120" w:type="dxa"/>
              <w:bottom w:w="80" w:type="dxa"/>
              <w:end w:w="120" w:type="dxa"/>
            </w:tcMar>
            <w:vAlign w:val="center"/>
          </w:tcPr>
          <w:p>
            <w:pPr>
              <w:spacing w:before="0" w:after="40" w:line="240" w:lineRule="auto"/>
            </w:pPr>
            <w:r>
              <w:rPr>
                <w:rFonts w:ascii="Calibri" w:hAnsi="Calibri"/>
                <w:b w:val="0"/>
                <w:color w:val="222222"/>
                <w:sz w:val="18"/>
              </w:rPr>
              <w:t>Models can be distributed across multiple assigned vGPUs, subject to workload overhead and profile support</w:t>
            </w:r>
          </w:p>
        </w:tc>
      </w:tr>
      <w:tr>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22222"/>
                <w:sz w:val="18"/>
              </w:rPr>
              <w:t>Live migration</w:t>
            </w:r>
          </w:p>
        </w:tc>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22222"/>
                <w:sz w:val="18"/>
              </w:rPr>
              <w:t>Available according to host log</w:t>
            </w:r>
          </w:p>
        </w:tc>
        <w:tc>
          <w:tcPr>
            <w:tcW w:type="dxa" w:w="3600"/>
            <w:tcMar>
              <w:top w:w="80" w:type="dxa"/>
              <w:start w:w="120" w:type="dxa"/>
              <w:bottom w:w="80" w:type="dxa"/>
              <w:end w:w="120" w:type="dxa"/>
            </w:tcMar>
            <w:vAlign w:val="center"/>
          </w:tcPr>
          <w:p>
            <w:pPr>
              <w:spacing w:before="0" w:after="40" w:line="240" w:lineRule="auto"/>
            </w:pPr>
            <w:r>
              <w:rPr>
                <w:rFonts w:ascii="Calibri" w:hAnsi="Calibri"/>
                <w:b w:val="0"/>
                <w:color w:val="222222"/>
                <w:sz w:val="18"/>
              </w:rPr>
              <w:t>Unavailable while UVM remains enabled</w:t>
            </w:r>
          </w:p>
        </w:tc>
      </w:tr>
    </w:tbl>
    <w:p>
      <w:pPr>
        <w:spacing w:after="40"/>
      </w:pPr>
    </w:p>
    <w:p>
      <w:pPr>
        <w:pStyle w:val="Heading2"/>
      </w:pPr>
      <w:r>
        <w:t>8.2 Capacity interpretation</w:t>
      </w:r>
    </w:p>
    <w:p>
      <w:r>
        <w:t>The resolution changes how the host should be represented in capacity planning. Before the fix, the platform's practical capability for a single model was one vGPU. After the fix, tensor parallelism can partition model weights and execution across multiple vGPUs. This makes models larger than a single 141 GiB slice deployable where the selected engine, quantization, context length, KV cache, and tensor-parallel profile fit the aggregate distributed resources.</w:t>
      </w:r>
    </w:p>
    <w:p>
      <w:r>
        <w:t>The total framebuffer should still not be presented as a single contiguous 564 GiB CUDA allocation. Distributed frameworks coordinate separate device memories and reserve capacity for runtime overhead. Each target model should continue to receive a model-specific sizing and performance test.</w:t>
      </w:r>
    </w:p>
    <w:p>
      <w:pPr>
        <w:pStyle w:val="Heading1"/>
      </w:pPr>
      <w:r>
        <w:t>9. Why the resolution was reached efficiently</w:t>
      </w:r>
    </w:p>
    <w:p>
      <w:r>
        <w:t>Several execution choices materially shortened the incident and reduced production risk:</w:t>
      </w:r>
    </w:p>
    <w:p>
      <w:pPr>
        <w:spacing w:after="160" w:line="280" w:lineRule="auto"/>
        <w:numPr>
          <w:ilvl w:val="0"/>
          <w:numId w:val="10"/>
        </w:numPr>
      </w:pPr>
      <w:r>
        <w:rPr>
          <w:rFonts w:ascii="Calibri" w:hAnsi="Calibri"/>
          <w:color w:val="222222"/>
          <w:sz w:val="22"/>
        </w:rPr>
        <w:t>Evidence was collected at application, container, guest, GPU, and hypervisor layers, preventing the investigation from stalling at a generic error string.</w:t>
      </w:r>
    </w:p>
    <w:p>
      <w:pPr>
        <w:spacing w:after="160" w:line="280" w:lineRule="auto"/>
        <w:numPr>
          <w:ilvl w:val="0"/>
          <w:numId w:val="10"/>
        </w:numPr>
      </w:pPr>
      <w:r>
        <w:rPr>
          <w:rFonts w:ascii="Calibri" w:hAnsi="Calibri"/>
          <w:color w:val="222222"/>
          <w:sz w:val="22"/>
        </w:rPr>
        <w:t>Competing explanations were tested with controlled environment and process-model changes, creating a defensible record of what had already been ruled out.</w:t>
      </w:r>
    </w:p>
    <w:p>
      <w:pPr>
        <w:spacing w:after="160" w:line="280" w:lineRule="auto"/>
        <w:numPr>
          <w:ilvl w:val="0"/>
          <w:numId w:val="10"/>
        </w:numPr>
      </w:pPr>
      <w:r>
        <w:rPr>
          <w:rFonts w:ascii="Calibri" w:hAnsi="Calibri"/>
          <w:color w:val="222222"/>
          <w:sz w:val="22"/>
        </w:rPr>
        <w:t>The escalation included both ESXi and RHEL bug reports, giving NVIDIA the context required to match the source line to the missing CUDA capability.</w:t>
      </w:r>
    </w:p>
    <w:p>
      <w:pPr>
        <w:spacing w:after="160" w:line="280" w:lineRule="auto"/>
        <w:numPr>
          <w:ilvl w:val="0"/>
          <w:numId w:val="10"/>
        </w:numPr>
      </w:pPr>
      <w:r>
        <w:rPr>
          <w:rFonts w:ascii="Calibri" w:hAnsi="Calibri"/>
          <w:color w:val="222222"/>
          <w:sz w:val="22"/>
        </w:rPr>
        <w:t>The diagnosis was updated when new source-level evidence became available; the report distinguishes the initial hypothesis from the verified root cause.</w:t>
      </w:r>
    </w:p>
    <w:p>
      <w:pPr>
        <w:spacing w:after="160" w:line="280" w:lineRule="auto"/>
        <w:numPr>
          <w:ilvl w:val="0"/>
          <w:numId w:val="10"/>
        </w:numPr>
      </w:pPr>
      <w:r>
        <w:rPr>
          <w:rFonts w:ascii="Calibri" w:hAnsi="Calibri"/>
          <w:color w:val="222222"/>
          <w:sz w:val="22"/>
        </w:rPr>
        <w:t>The change was validated on development infrastructure before production implementation, and the production change reproduced the same known-working configuration.</w:t>
      </w:r>
    </w:p>
    <w:p>
      <w:pPr>
        <w:spacing w:after="160" w:line="280" w:lineRule="auto"/>
        <w:numPr>
          <w:ilvl w:val="0"/>
          <w:numId w:val="10"/>
        </w:numPr>
      </w:pPr>
      <w:r>
        <w:rPr>
          <w:rFonts w:ascii="Calibri" w:hAnsi="Calibri"/>
          <w:color w:val="222222"/>
          <w:sz w:val="22"/>
        </w:rPr>
        <w:t>Verification was performed through the actual multi-GPU application path, demonstrating business recovery rather than only configuration compliance.</w:t>
      </w:r>
    </w:p>
    <w:p>
      <w:pPr>
        <w:pStyle w:val="Heading1"/>
      </w:pPr>
      <w:r>
        <w:t>10. Preventive controls and recommendations</w:t>
      </w:r>
    </w:p>
    <w:tbl>
      <w:tblPr>
        <w:tblStyle w:val="TableGrid"/>
        <w:tblW w:type="dxa" w:w="9360"/>
        <w:jc w:val="left"/>
        <w:tblLayout w:type="fixed"/>
        <w:tblLook w:firstColumn="1" w:firstRow="1" w:lastColumn="0" w:lastRow="0" w:noHBand="0" w:noVBand="1" w:val="04A0"/>
        <w:tblInd w:w="120" w:type="dxa"/>
      </w:tblPr>
      <w:tblGrid>
        <w:gridCol w:w="960"/>
        <w:gridCol w:w="6600"/>
        <w:gridCol w:w="1800"/>
      </w:tblGrid>
      <w:tr>
        <w:trPr>
          <w:tblHeader w:val="true"/>
        </w:trPr>
        <w:tc>
          <w:tcPr>
            <w:tcW w:type="dxa" w:w="96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Priority</w:t>
            </w:r>
          </w:p>
        </w:tc>
        <w:tc>
          <w:tcPr>
            <w:tcW w:type="dxa" w:w="66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Recommended control</w:t>
            </w:r>
          </w:p>
        </w:tc>
        <w:tc>
          <w:tcPr>
            <w:tcW w:type="dxa" w:w="18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7"/>
              </w:rPr>
              <w:t>Owner</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High</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Add all four per-vGPU UVM parameters and the approved 64-bit MMIO values to the documented golden configuration for H200 multi-vGPU inference VMs.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Virtualization / VM team</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High</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Record the loss of vGPU migration in the VM's operational runbook, DRS policy, and maintenance procedure.</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Virtualization / Operations</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High</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Add a deployment gate that verifies CUDA memory-pool support and completes an NCCL multi-GPU test before onboarding a tensor-parallel model.</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AI Engineering</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Medium</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Retain a standard test pack: GPU enumeration, licensing status, topology, CUDA memory-pool capability, NCCL all-reduce, and an application-level tensor-parallel smoke test.</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AI Engineering</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Medium</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Check configuration drift after VM cloning, vGPU reattachment, hypervisor maintenance, guest-driver upgrades, or NVIDIA AI Enterprise upgrades.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Joint</w:t>
            </w:r>
          </w:p>
        </w:tc>
      </w:tr>
      <w:tr>
        <w:tc>
          <w:tcPr>
            <w:tcW w:type="dxa" w:w="960"/>
            <w:tcMar>
              <w:top w:w="80" w:type="dxa"/>
              <w:start w:w="120" w:type="dxa"/>
              <w:bottom w:w="80" w:type="dxa"/>
              <w:end w:w="120" w:type="dxa"/>
            </w:tcMar>
            <w:vAlign w:val="center"/>
          </w:tcPr>
          <w:p>
            <w:pPr>
              <w:spacing w:before="0" w:after="40" w:line="240" w:lineRule="auto"/>
            </w:pPr>
            <w:r>
              <w:rPr>
                <w:rFonts w:ascii="Calibri" w:hAnsi="Calibri"/>
                <w:b w:val="0"/>
                <w:color w:val="222222"/>
                <w:sz w:val="17"/>
              </w:rPr>
              <w:t>Medium</w:t>
            </w:r>
          </w:p>
        </w:tc>
        <w:tc>
          <w:tcPr>
            <w:tcW w:type="dxa" w:w="6600"/>
            <w:tcMar>
              <w:top w:w="80" w:type="dxa"/>
              <w:start w:w="120" w:type="dxa"/>
              <w:bottom w:w="80" w:type="dxa"/>
              <w:end w:w="120" w:type="dxa"/>
            </w:tcMar>
            <w:vAlign w:val="center"/>
          </w:tcPr>
          <w:p>
            <w:pPr>
              <w:spacing w:before="0" w:after="40" w:line="240" w:lineRule="auto"/>
            </w:pPr>
            <w:r>
              <w:rPr>
                <w:rFonts w:ascii="Calibri" w:hAnsi="Calibri"/>
                <w:b w:val="0"/>
                <w:color w:val="222222"/>
                <w:sz w:val="17"/>
              </w:rPr>
              <w:t>Capture model-specific throughput, latency, memory utilization, and KV-cache headroom after functional recovery; functional success alone does not establish production performance capacity.</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22222"/>
                <w:sz w:val="17"/>
              </w:rPr>
              <w:t>AI Engineering</w:t>
            </w:r>
          </w:p>
        </w:tc>
      </w:tr>
    </w:tbl>
    <w:p>
      <w:pPr>
        <w:spacing w:after="40"/>
      </w:pPr>
    </w:p>
    <w:p>
      <w:pPr>
        <w:pStyle w:val="Heading1"/>
      </w:pPr>
      <w:r>
        <w:t>11. Conclusion</w:t>
      </w:r>
    </w:p>
    <w:p>
      <w:r>
        <w:t>The multi-GPU failure on cbq2-svd-dsgpu2 was caused by a missing hypervisor-level UVM configuration, not a hardware defect, a general CUDA IPC prohibition, a network transport failure, or an application defect. NCCL exposed the missing capability while constructing its local communicator memory pool, and the generic CUDA error initially obscured the specific requirement.</w:t>
      </w:r>
    </w:p>
    <w:p>
      <w:r>
        <w:t>The incident was resolved by enabling UVM separately for all four attached vGPUs with the VM fully powered off, then powering the VM back on. The AI Engineering and VM teams validated the change on the development GPU server before replicating it on production. Production tensor-parallel inference then operated successfully. The outcome restores the intended multi-vGPU capability while introducing a documented infrastructure constraint: vGPU migration is disabled whenever UVM is enabled.</w:t>
      </w:r>
    </w:p>
    <w:p>
      <w:r>
        <w:br w:type="page"/>
      </w:r>
    </w:p>
    <w:p>
      <w:pPr>
        <w:pStyle w:val="Heading1"/>
      </w:pPr>
      <w:r>
        <w:t>Appendix A — Configuration record</w:t>
      </w:r>
    </w:p>
    <w:p>
      <w:pPr>
        <w:pStyle w:val="Heading2"/>
      </w:pPr>
      <w:r>
        <w:t>A.1 Required UVM parameters for four vGPUs</w:t>
      </w:r>
    </w:p>
    <w:p>
      <w:pPr>
        <w:pStyle w:val="CodeBlock"/>
        <w:shd w:fill="F5F7FA" w:val="clear"/>
      </w:pPr>
      <w:r>
        <w:rPr>
          <w:rFonts w:ascii="Consolas" w:hAnsi="Consolas"/>
          <w:color w:val="0B2545"/>
          <w:sz w:val="18"/>
        </w:rPr>
        <w:t>pciPassthru0.cfg.enable_uvm = 1</w:t>
        <w:br/>
        <w:t>pciPassthru1.cfg.enable_uvm = 1</w:t>
        <w:br/>
        <w:t>pciPassthru2.cfg.enable_uvm = 1</w:t>
        <w:br/>
        <w:t>pciPassthru3.cfg.enable_uvm = 1</w:t>
      </w:r>
    </w:p>
    <w:p>
      <w:pPr>
        <w:pStyle w:val="Heading2"/>
      </w:pPr>
      <w:r>
        <w:t>A.2 Related MMIO baseline</w:t>
      </w:r>
    </w:p>
    <w:p>
      <w:pPr>
        <w:pStyle w:val="CodeBlock"/>
        <w:shd w:fill="F5F7FA" w:val="clear"/>
      </w:pPr>
      <w:r>
        <w:rPr>
          <w:rFonts w:ascii="Consolas" w:hAnsi="Consolas"/>
          <w:color w:val="0B2545"/>
          <w:sz w:val="18"/>
        </w:rPr>
        <w:t>pciPassthru.use64bitMMIO    = TRUE</w:t>
        <w:br/>
        <w:t>pciPassthru.64bitMMIOSizeGB = 1024</w:t>
      </w:r>
    </w:p>
    <w:p>
      <w:pPr>
        <w:pStyle w:val="Heading2"/>
      </w:pPr>
      <w:r>
        <w:t>A.3 Change prerequisites</w:t>
      </w:r>
    </w:p>
    <w:p>
      <w:pPr>
        <w:spacing w:after="160" w:line="280" w:lineRule="auto"/>
        <w:numPr>
          <w:ilvl w:val="0"/>
          <w:numId w:val="10"/>
        </w:numPr>
      </w:pPr>
      <w:r>
        <w:rPr>
          <w:rFonts w:ascii="Calibri" w:hAnsi="Calibri"/>
          <w:color w:val="222222"/>
          <w:sz w:val="22"/>
        </w:rPr>
        <w:t>Confirm an approved outage and acceptance of the vGPU migration limitation.</w:t>
      </w:r>
    </w:p>
    <w:p>
      <w:pPr>
        <w:spacing w:after="160" w:line="280" w:lineRule="auto"/>
        <w:numPr>
          <w:ilvl w:val="0"/>
          <w:numId w:val="10"/>
        </w:numPr>
      </w:pPr>
      <w:r>
        <w:rPr>
          <w:rFonts w:ascii="Calibri" w:hAnsi="Calibri"/>
          <w:color w:val="222222"/>
          <w:sz w:val="22"/>
        </w:rPr>
        <w:t>Fully power off the VM; do not rely on a guest reboot.</w:t>
      </w:r>
    </w:p>
    <w:p>
      <w:pPr>
        <w:spacing w:after="160" w:line="280" w:lineRule="auto"/>
        <w:numPr>
          <w:ilvl w:val="0"/>
          <w:numId w:val="10"/>
        </w:numPr>
      </w:pPr>
      <w:r>
        <w:rPr>
          <w:rFonts w:ascii="Calibri" w:hAnsi="Calibri"/>
          <w:color w:val="222222"/>
          <w:sz w:val="22"/>
        </w:rPr>
        <w:t>Apply one enable_uvm parameter for every vGPU attached to the VM.</w:t>
      </w:r>
    </w:p>
    <w:p>
      <w:pPr>
        <w:spacing w:after="160" w:line="280" w:lineRule="auto"/>
        <w:numPr>
          <w:ilvl w:val="0"/>
          <w:numId w:val="10"/>
        </w:numPr>
      </w:pPr>
      <w:r>
        <w:rPr>
          <w:rFonts w:ascii="Calibri" w:hAnsi="Calibri"/>
          <w:color w:val="222222"/>
          <w:sz w:val="22"/>
        </w:rPr>
        <w:t>Power on the VM and verify that every vGPU enumerates and remains licensed.</w:t>
      </w:r>
    </w:p>
    <w:p>
      <w:pPr>
        <w:spacing w:after="160" w:line="280" w:lineRule="auto"/>
        <w:numPr>
          <w:ilvl w:val="0"/>
          <w:numId w:val="10"/>
        </w:numPr>
      </w:pPr>
      <w:r>
        <w:rPr>
          <w:rFonts w:ascii="Calibri" w:hAnsi="Calibri"/>
          <w:color w:val="222222"/>
          <w:sz w:val="22"/>
        </w:rPr>
        <w:t>Run CUDA/NCCL capability checks and the actual tensor-parallel workload before closing the change.</w:t>
      </w:r>
    </w:p>
    <w:p>
      <w:pPr>
        <w:pStyle w:val="Heading1"/>
      </w:pPr>
      <w:r>
        <w:t>Appendix B — Acceptance test checklist</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8"/>
              </w:rPr>
              <w:t>Check</w:t>
            </w:r>
          </w:p>
        </w:tc>
        <w:tc>
          <w:tcPr>
            <w:tcW w:type="dxa" w:w="6360"/>
            <w:tcMar>
              <w:top w:w="80" w:type="dxa"/>
              <w:start w:w="120" w:type="dxa"/>
              <w:bottom w:w="80" w:type="dxa"/>
              <w:end w:w="120" w:type="dxa"/>
            </w:tcMar>
            <w:vAlign w:val="center"/>
            <w:shd w:fill="F2F4F7" w:val="clear"/>
          </w:tcPr>
          <w:p>
            <w:pPr>
              <w:spacing w:before="0" w:after="40" w:line="240" w:lineRule="auto"/>
            </w:pPr>
            <w:r>
              <w:rPr>
                <w:rFonts w:ascii="Calibri" w:hAnsi="Calibri"/>
                <w:b/>
                <w:color w:val="0B2545"/>
                <w:sz w:val="18"/>
              </w:rPr>
              <w:t>Expected result</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GPU enumeration</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All four assigned H200-141C vGPUs are visible in the guest.</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Licensing</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All four devices report valid licensing.</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CUDA memory-pool capability</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Every target GPU reports memory-pool support and a minimal cudaMemPoolCreate test succeeds.</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NCCL communicator</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A two-GPU test initializes without operation not supported; repeat at the intended production tensor-parallel degree.</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Collective communication</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An NCCL collective such as all-reduce completes successfully on the intended devices.</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Application smoke test</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The target NIM/vLLM service loads and answers an inference request using the intended tensor-parallel setting.</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Resource verification</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GPU utilization and memory allocation are visible on the expected devices.</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Regression check</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Existing single-GPU services remain healthy.</w:t>
            </w:r>
          </w:p>
        </w:tc>
      </w:tr>
      <w:tr>
        <w:tc>
          <w:tcPr>
            <w:tcW w:type="dxa" w:w="3000"/>
            <w:tcMar>
              <w:top w:w="80" w:type="dxa"/>
              <w:start w:w="120" w:type="dxa"/>
              <w:bottom w:w="80" w:type="dxa"/>
              <w:end w:w="120" w:type="dxa"/>
            </w:tcMar>
            <w:vAlign w:val="center"/>
          </w:tcPr>
          <w:p>
            <w:pPr>
              <w:spacing w:before="0" w:after="40" w:line="240" w:lineRule="auto"/>
            </w:pPr>
            <w:r>
              <w:rPr>
                <w:rFonts w:ascii="Calibri" w:hAnsi="Calibri"/>
                <w:b w:val="0"/>
                <w:color w:val="222222"/>
                <w:sz w:val="18"/>
              </w:rPr>
              <w:t>Operations record</w:t>
            </w:r>
          </w:p>
        </w:tc>
        <w:tc>
          <w:tcPr>
            <w:tcW w:type="dxa" w:w="6360"/>
            <w:tcMar>
              <w:top w:w="80" w:type="dxa"/>
              <w:start w:w="120" w:type="dxa"/>
              <w:bottom w:w="80" w:type="dxa"/>
              <w:end w:w="120" w:type="dxa"/>
            </w:tcMar>
            <w:vAlign w:val="center"/>
          </w:tcPr>
          <w:p>
            <w:pPr>
              <w:spacing w:before="0" w:after="40" w:line="240" w:lineRule="auto"/>
            </w:pPr>
            <w:r>
              <w:rPr>
                <w:rFonts w:ascii="Calibri" w:hAnsi="Calibri"/>
                <w:b w:val="0"/>
                <w:color w:val="222222"/>
                <w:sz w:val="18"/>
              </w:rPr>
              <w:t>The change record and maintenance runbook note that live vGPU migration is unavailable while UVM is enabled.</w:t>
            </w:r>
          </w:p>
        </w:tc>
      </w:tr>
    </w:tbl>
    <w:p>
      <w:pPr>
        <w:spacing w:after="40"/>
      </w:pPr>
    </w:p>
    <w:p>
      <w:pPr>
        <w:pStyle w:val="Heading1"/>
      </w:pPr>
      <w:r>
        <w:t>Appendix C — References</w:t>
      </w:r>
    </w:p>
    <w:p>
      <w:r>
        <w:t>External references were checked on 2 September 2026. The incident-specific facts and validation outcomes are drawn from the supplied AI Engineering report, NVIDIA Enterprise Support response, and the reported development and production test results.</w:t>
      </w:r>
    </w:p>
    <w:p>
      <w:pPr>
        <w:spacing w:after="100"/>
        <w:ind w:left="360" w:hanging="360"/>
      </w:pPr>
      <w:r>
        <w:rPr>
          <w:rFonts w:ascii="Calibri" w:hAnsi="Calibri"/>
          <w:b/>
          <w:color w:val="0B2545"/>
          <w:sz w:val="20"/>
        </w:rPr>
        <w:t xml:space="preserve">[1] </w:t>
      </w:r>
      <w:hyperlink r:id="rId11">
        <w:r>
          <w:rPr>
            <w:rFonts w:ascii="Calibri" w:hAnsi="Calibri"/>
            <w:color w:val="2E74B5"/>
            <w:u w:val="single"/>
            <w:sz w:val="20"/>
          </w:rPr>
          <w:t>NVIDIA NCCL 2.28.9 Troubleshooting — Unified Memory (UVM)</w:t>
        </w:r>
      </w:hyperlink>
      <w:r>
        <w:rPr>
          <w:rFonts w:ascii="Calibri" w:hAnsi="Calibri"/>
          <w:i/>
          <w:color w:val="5B6573"/>
          <w:sz w:val="20"/>
        </w:rPr>
        <w:t xml:space="preserve"> — States that NCCL 2.23+ uses CUDA memory pools and that the feature relies on UVM.</w:t>
      </w:r>
    </w:p>
    <w:p>
      <w:pPr>
        <w:spacing w:after="100"/>
        <w:ind w:left="360" w:hanging="360"/>
      </w:pPr>
      <w:r>
        <w:rPr>
          <w:rFonts w:ascii="Calibri" w:hAnsi="Calibri"/>
          <w:b/>
          <w:color w:val="0B2545"/>
          <w:sz w:val="20"/>
        </w:rPr>
        <w:t xml:space="preserve">[2] </w:t>
      </w:r>
      <w:hyperlink r:id="rId12">
        <w:r>
          <w:rPr>
            <w:rFonts w:ascii="Calibri" w:hAnsi="Calibri"/>
            <w:color w:val="2E74B5"/>
            <w:u w:val="single"/>
            <w:sz w:val="20"/>
          </w:rPr>
          <w:t>NVIDIA AI Enterprise — Unified Virtual Memory (UVM)</w:t>
        </w:r>
      </w:hyperlink>
      <w:r>
        <w:rPr>
          <w:rFonts w:ascii="Calibri" w:hAnsi="Calibri"/>
          <w:i/>
          <w:color w:val="5B6573"/>
          <w:sz w:val="20"/>
        </w:rPr>
        <w:t xml:space="preserve"> — Documents supported profiles, Linux requirement, per-vGPU enablement, default-disabled state, and migration limitation.</w:t>
      </w:r>
    </w:p>
    <w:p>
      <w:pPr>
        <w:spacing w:after="100"/>
        <w:ind w:left="360" w:hanging="360"/>
      </w:pPr>
      <w:r>
        <w:rPr>
          <w:rFonts w:ascii="Calibri" w:hAnsi="Calibri"/>
          <w:b/>
          <w:color w:val="0B2545"/>
          <w:sz w:val="20"/>
        </w:rPr>
        <w:t xml:space="preserve">[3] </w:t>
      </w:r>
      <w:hyperlink r:id="rId13">
        <w:r>
          <w:rPr>
            <w:rFonts w:ascii="Calibri" w:hAnsi="Calibri"/>
            <w:color w:val="2E74B5"/>
            <w:u w:val="single"/>
            <w:sz w:val="20"/>
          </w:rPr>
          <w:t>NVIDIA Virtual GPU Software User Guide — Modifying a VM's NVIDIA vGPU Configuration</w:t>
        </w:r>
      </w:hyperlink>
      <w:r>
        <w:rPr>
          <w:rFonts w:ascii="Calibri" w:hAnsi="Calibri"/>
          <w:i/>
          <w:color w:val="5B6573"/>
          <w:sz w:val="20"/>
        </w:rPr>
        <w:t xml:space="preserve"> — Documents pciPassthru&lt;vgpu-id&gt;.cfg.enable_uvm=1 and the powered-off VMware workflow.</w:t>
      </w:r>
    </w:p>
    <w:p>
      <w:pPr>
        <w:spacing w:after="100"/>
        <w:ind w:left="360" w:hanging="360"/>
      </w:pPr>
      <w:r>
        <w:rPr>
          <w:rFonts w:ascii="Calibri" w:hAnsi="Calibri"/>
          <w:b/>
          <w:color w:val="0B2545"/>
          <w:sz w:val="20"/>
        </w:rPr>
        <w:t xml:space="preserve">[4] </w:t>
      </w:r>
      <w:hyperlink r:id="rId14">
        <w:r>
          <w:rPr>
            <w:rFonts w:ascii="Calibri" w:hAnsi="Calibri"/>
            <w:color w:val="2E74B5"/>
            <w:u w:val="single"/>
            <w:sz w:val="20"/>
          </w:rPr>
          <w:t>NVIDIA AI Enterprise — UVM Board Support</w:t>
        </w:r>
      </w:hyperlink>
      <w:r>
        <w:rPr>
          <w:rFonts w:ascii="Calibri" w:hAnsi="Calibri"/>
          <w:i/>
          <w:color w:val="5B6573"/>
          <w:sz w:val="20"/>
        </w:rPr>
        <w:t xml:space="preserve"> — Lists H200-141C as a supported Hopper vGPU profile for UVM.</w:t>
      </w:r>
    </w:p>
    <w:p>
      <w:pPr>
        <w:spacing w:after="100"/>
        <w:ind w:left="360" w:hanging="360"/>
      </w:pPr>
      <w:r>
        <w:rPr>
          <w:rFonts w:ascii="Calibri" w:hAnsi="Calibri"/>
          <w:b/>
          <w:color w:val="0B2545"/>
          <w:sz w:val="20"/>
        </w:rPr>
        <w:t xml:space="preserve">[5] </w:t>
      </w:r>
      <w:hyperlink r:id="rId15">
        <w:r>
          <w:rPr>
            <w:rFonts w:ascii="Calibri" w:hAnsi="Calibri"/>
            <w:color w:val="2E74B5"/>
            <w:u w:val="single"/>
            <w:sz w:val="20"/>
          </w:rPr>
          <w:t>NVIDIA AI Enterprise — Hopper H200 vGPU Types</w:t>
        </w:r>
      </w:hyperlink>
      <w:r>
        <w:rPr>
          <w:rFonts w:ascii="Calibri" w:hAnsi="Calibri"/>
          <w:i/>
          <w:color w:val="5B6573"/>
          <w:sz w:val="20"/>
        </w:rPr>
        <w:t xml:space="preserve"> — Lists H200-141C as a 141 GB full-framebuffer time-sliced compute profile.</w:t>
      </w:r>
    </w:p>
    <w:p>
      <w:pPr>
        <w:spacing w:after="100"/>
        <w:ind w:left="360" w:hanging="360"/>
      </w:pPr>
      <w:r>
        <w:rPr>
          <w:rFonts w:ascii="Calibri" w:hAnsi="Calibri"/>
          <w:b/>
          <w:color w:val="0B2545"/>
          <w:sz w:val="20"/>
        </w:rPr>
        <w:t xml:space="preserve">[6] </w:t>
      </w:r>
      <w:hyperlink r:id="rId16">
        <w:r>
          <w:rPr>
            <w:rFonts w:ascii="Calibri" w:hAnsi="Calibri"/>
            <w:color w:val="2E74B5"/>
            <w:u w:val="single"/>
            <w:sz w:val="20"/>
          </w:rPr>
          <w:t>NVIDIA NCCL source — init.cc (commAlloc memory-pool creation)</w:t>
        </w:r>
      </w:hyperlink>
      <w:r>
        <w:rPr>
          <w:rFonts w:ascii="Calibri" w:hAnsi="Calibri"/>
          <w:i/>
          <w:color w:val="5B6573"/>
          <w:sz w:val="20"/>
        </w:rPr>
        <w:t xml:space="preserve"> — Source location referenced by NVIDIA Enterprise Support for the failing cudaMemPoolCreate call.</w:t>
      </w:r>
    </w:p>
    <w:p>
      <w:pPr>
        <w:spacing w:after="100"/>
        <w:ind w:left="360" w:hanging="360"/>
      </w:pPr>
      <w:r>
        <w:rPr>
          <w:rFonts w:ascii="Calibri" w:hAnsi="Calibri"/>
          <w:b/>
          <w:color w:val="0B2545"/>
          <w:sz w:val="20"/>
        </w:rPr>
        <w:t xml:space="preserve">[7] </w:t>
      </w:r>
      <w:r>
        <w:rPr>
          <w:rFonts w:ascii="Calibri" w:hAnsi="Calibri"/>
          <w:color w:val="222222"/>
          <w:sz w:val="20"/>
        </w:rPr>
        <w:t>AI Engineering initial technical report, 18 August 2026</w:t>
      </w:r>
      <w:r>
        <w:rPr>
          <w:rFonts w:ascii="Calibri" w:hAnsi="Calibri"/>
          <w:i/>
          <w:color w:val="5B6573"/>
          <w:sz w:val="20"/>
        </w:rPr>
        <w:t xml:space="preserve"> — Internal incident evidence supplied for this report.</w:t>
      </w:r>
    </w:p>
    <w:p>
      <w:pPr>
        <w:spacing w:after="100"/>
        <w:ind w:left="360" w:hanging="360"/>
      </w:pPr>
      <w:r>
        <w:rPr>
          <w:rFonts w:ascii="Calibri" w:hAnsi="Calibri"/>
          <w:b/>
          <w:color w:val="0B2545"/>
          <w:sz w:val="20"/>
        </w:rPr>
        <w:t xml:space="preserve">[8] </w:t>
      </w:r>
      <w:r>
        <w:rPr>
          <w:rFonts w:ascii="Calibri" w:hAnsi="Calibri"/>
          <w:color w:val="222222"/>
          <w:sz w:val="20"/>
        </w:rPr>
        <w:t>NVIDIA Enterprise Support analysis and remediation guidance</w:t>
      </w:r>
      <w:r>
        <w:rPr>
          <w:rFonts w:ascii="Calibri" w:hAnsi="Calibri"/>
          <w:i/>
          <w:color w:val="5B6573"/>
          <w:sz w:val="20"/>
        </w:rPr>
        <w:t xml:space="preserve"> — Internal support correspondence supplied for this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40"/>
    </w:pPr>
    <w:r>
      <w:rPr>
        <w:rFonts w:ascii="Calibri" w:hAnsi="Calibri"/>
        <w:color w:val="5B6573"/>
        <w:sz w:val="16"/>
      </w:rPr>
      <w:t>Internal | AI Engineering</w:t>
    </w:r>
    <w:r>
      <w:rPr>
        <w:rFonts w:ascii="Calibri" w:hAnsi="Calibri"/>
        <w:color w:val="5B6573"/>
        <w:sz w:val="16"/>
      </w:rPr>
      <w:tab/>
      <w:t xml:space="preserve">Page </w:t>
    </w:r>
    <w:r>
      <w:rPr>
        <w:rFonts w:ascii="Calibri" w:hAnsi="Calibri"/>
        <w:color w:val="5B6573"/>
        <w:sz w:val="16"/>
      </w:rPr>
      <w:fldChar w:fldCharType="begin"/>
      <w:instrText xml:space="preserve">PAGE</w:instrText>
      <w:fldChar w:fldCharType="separate"/>
      <w:t>1</w:t>
      <w:fldChar w:fldCharType="end"/>
    </w:r>
    <w:r>
      <w:rPr>
        <w:rFonts w:ascii="Calibri" w:hAnsi="Calibri"/>
        <w:color w:val="5B6573"/>
        <w:sz w:val="16"/>
      </w:rPr>
      <w:t xml:space="preserve"> of </w:t>
    </w:r>
    <w:r>
      <w:rPr>
        <w:rFonts w:ascii="Calibri" w:hAnsi="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5" w:space="2" w:color="C8D1DA"/>
      </w:pBdr>
    </w:pPr>
    <w:r>
      <w:rPr>
        <w:rFonts w:ascii="Calibri" w:hAnsi="Calibri"/>
        <w:b/>
        <w:color w:val="5B6573"/>
        <w:sz w:val="16"/>
      </w:rPr>
      <w:t>TECHNICAL INCIDENT RESOLUTION REPORT</w:t>
    </w:r>
    <w:r>
      <w:rPr>
        <w:rFonts w:ascii="Calibri" w:hAnsi="Calibri"/>
        <w:color w:val="5B6573"/>
        <w:sz w:val="16"/>
      </w:rPr>
      <w:tab/>
      <w:t>cbq2-svd-dsgpu2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144"/>
    </w:pPr>
    <w:rPr>
      <w:rFonts w:ascii="Consolas" w:hAnsi="Consolas"/>
      <w:color w:val="0B2545"/>
      <w:sz w:val="18"/>
    </w:rPr>
  </w:style>
  <w:style w:type="paragraph" w:customStyle="1" w:styleId="SourceText">
    <w:name w:val="Source Text"/>
    <w:pPr>
      <w:spacing w:before="80" w:after="80" w:line="240" w:lineRule="auto"/>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vidia.com/deeplearning/nccl/archives/nccl_2289/user-guide/docs/troubleshooting.html#unified-memory-uvm" TargetMode="External"/><Relationship Id="rId12" Type="http://schemas.openxmlformats.org/officeDocument/2006/relationships/hyperlink" Target="https://docs.nvidia.com/ai-enterprise/release-8/latest/infra-software/vgpu/features/uvm.html" TargetMode="External"/><Relationship Id="rId13" Type="http://schemas.openxmlformats.org/officeDocument/2006/relationships/hyperlink" Target="https://docs.nvidia.com/vgpu/latest/grid-vgpu-user-guide/modifying-vgpu-configuration.html" TargetMode="External"/><Relationship Id="rId14" Type="http://schemas.openxmlformats.org/officeDocument/2006/relationships/hyperlink" Target="https://docs.nvidia.com/ai-enterprise/release-8/latest/infra-software/vgpu/features/uvm-support.html" TargetMode="External"/><Relationship Id="rId15" Type="http://schemas.openxmlformats.org/officeDocument/2006/relationships/hyperlink" Target="https://docs.nvidia.com/ai-enterprise/release-8/latest/infra-software/vgpu/reference/hopper-h200.html" TargetMode="External"/><Relationship Id="rId16" Type="http://schemas.openxmlformats.org/officeDocument/2006/relationships/hyperlink" Target="https://github.com/NVIDIA/nccl/blob/v2.28.9-1/src/init.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Multi-GPU Inference Initialization Failure — Incident Resolution Report</dc:title>
  <dc:subject>NCCL multi-GPU initialization failure caused by disabled UVM on NVIDIA H200 vGPU</dc:subject>
  <dc:creator>AI Engineering</dc:creator>
  <cp:keywords>NVIDIA, H200, vGPU, UVM, NCCL, vLLM, NIM, tensor parallelism, VMware</cp:keywords>
  <dc:description>Prepared from the supplied incident report, NVIDIA support response, and validated dev-to-production resolution.</dc:description>
  <cp:lastModifiedBy/>
  <cp:revision>1</cp:revision>
  <dcterms:created xsi:type="dcterms:W3CDTF">2013-12-23T23:15:00Z</dcterms:created>
  <dcterms:modified xsi:type="dcterms:W3CDTF">2013-12-23T23:15:00Z</dcterms:modified>
  <cp:category/>
</cp:coreProperties>
</file>