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i w:val="0"/>
          <w:color w:val="17365D"/>
          <w:sz w:val="44"/>
        </w:rPr>
        <w:t>Multi-GPU Inference Incident</w:t>
      </w:r>
    </w:p>
    <w:p>
      <w:pPr>
        <w:spacing w:after="200"/>
      </w:pPr>
      <w:r>
        <w:rPr>
          <w:rFonts w:ascii="Calibri" w:hAnsi="Calibri"/>
          <w:b w:val="0"/>
          <w:i w:val="0"/>
          <w:color w:val="606A76"/>
          <w:sz w:val="24"/>
        </w:rPr>
        <w:t>Management summary and resolution report</w:t>
      </w:r>
    </w:p>
    <w:tbl>
      <w:tblPr>
        <w:tblW w:type="auto" w:w="0"/>
        <w:jc w:val="center"/>
        <w:tblLayout w:type="fixed"/>
        <w:tblLook w:firstColumn="1" w:firstRow="1" w:lastColumn="0" w:lastRow="0" w:noHBand="0" w:noVBand="1" w:val="04A0"/>
      </w:tblPr>
      <w:tblGrid>
        <w:gridCol w:w="2498"/>
        <w:gridCol w:w="2498"/>
        <w:gridCol w:w="2498"/>
        <w:gridCol w:w="2498"/>
      </w:tblGrid>
      <w:tr>
        <w:trPr>
          <w:cantSplit/>
        </w:trPr>
        <w:tc>
          <w:tcPr>
            <w:tcW w:type="dxa" w:w="1296"/>
            <w:tcMar>
              <w:top w:w="80" w:type="dxa"/>
              <w:start w:w="100" w:type="dxa"/>
              <w:bottom w:w="80" w:type="dxa"/>
              <w:end w:w="100" w:type="dxa"/>
            </w:tcMar>
            <w:tcBorders>
              <w:top w:val="single" w:sz="4" w:color="C7D0D9"/>
              <w:left w:val="single" w:sz="4" w:color="C7D0D9"/>
              <w:bottom w:val="single" w:sz="4" w:color="C7D0D9"/>
              <w:right w:val="single" w:sz="4" w:color="C7D0D9"/>
            </w:tcBorders>
            <w:shd w:fill="F3F5F7" w:val="clear"/>
          </w:tcPr>
          <w:p>
            <w:pPr>
              <w:keepLines/>
              <w:spacing w:after="0"/>
            </w:pPr>
            <w:r>
              <w:rPr>
                <w:rFonts w:ascii="Calibri" w:hAnsi="Calibri"/>
                <w:b/>
                <w:i w:val="0"/>
                <w:color w:val="606A76"/>
                <w:sz w:val="17"/>
              </w:rPr>
              <w:t>System</w:t>
            </w:r>
          </w:p>
        </w:tc>
        <w:tc>
          <w:tcPr>
            <w:tcW w:type="dxa" w:w="3240"/>
            <w:tcMar>
              <w:top w:w="80" w:type="dxa"/>
              <w:start w:w="100" w:type="dxa"/>
              <w:bottom w:w="80" w:type="dxa"/>
              <w:end w:w="100" w:type="dxa"/>
            </w:tcMar>
            <w:tcBorders>
              <w:top w:val="single" w:sz="4" w:color="C7D0D9"/>
              <w:left w:val="single" w:sz="4" w:color="C7D0D9"/>
              <w:bottom w:val="single" w:sz="4" w:color="C7D0D9"/>
              <w:right w:val="single" w:sz="4" w:color="C7D0D9"/>
            </w:tcBorders>
          </w:tcPr>
          <w:p>
            <w:pPr>
              <w:keepLines/>
              <w:spacing w:after="0"/>
            </w:pPr>
            <w:r>
              <w:rPr>
                <w:rFonts w:ascii="Calibri" w:hAnsi="Calibri"/>
                <w:b w:val="0"/>
                <w:i w:val="0"/>
                <w:color w:val="222222"/>
                <w:sz w:val="18"/>
              </w:rPr>
              <w:t>cbq2-svd-dsgpu2 (10.1.94.110)</w:t>
            </w:r>
          </w:p>
        </w:tc>
        <w:tc>
          <w:tcPr>
            <w:tcW w:type="dxa" w:w="1224"/>
            <w:tcMar>
              <w:top w:w="80" w:type="dxa"/>
              <w:start w:w="100" w:type="dxa"/>
              <w:bottom w:w="80" w:type="dxa"/>
              <w:end w:w="100" w:type="dxa"/>
            </w:tcMar>
            <w:tcBorders>
              <w:top w:val="single" w:sz="4" w:color="C7D0D9"/>
              <w:left w:val="single" w:sz="4" w:color="C7D0D9"/>
              <w:bottom w:val="single" w:sz="4" w:color="C7D0D9"/>
              <w:right w:val="single" w:sz="4" w:color="C7D0D9"/>
            </w:tcBorders>
            <w:shd w:fill="F3F5F7" w:val="clear"/>
          </w:tcPr>
          <w:p>
            <w:pPr>
              <w:keepLines/>
              <w:spacing w:after="0"/>
            </w:pPr>
            <w:r>
              <w:rPr>
                <w:rFonts w:ascii="Calibri" w:hAnsi="Calibri"/>
                <w:b/>
                <w:i w:val="0"/>
                <w:color w:val="606A76"/>
                <w:sz w:val="17"/>
              </w:rPr>
              <w:t>Status</w:t>
            </w:r>
          </w:p>
        </w:tc>
        <w:tc>
          <w:tcPr>
            <w:tcW w:type="dxa" w:w="3528"/>
            <w:tcMar>
              <w:top w:w="80" w:type="dxa"/>
              <w:start w:w="100" w:type="dxa"/>
              <w:bottom w:w="80" w:type="dxa"/>
              <w:end w:w="100" w:type="dxa"/>
            </w:tcMar>
            <w:tcBorders>
              <w:top w:val="single" w:sz="4" w:color="C7D0D9"/>
              <w:left w:val="single" w:sz="4" w:color="C7D0D9"/>
              <w:bottom w:val="single" w:sz="4" w:color="C7D0D9"/>
              <w:right w:val="single" w:sz="4" w:color="C7D0D9"/>
            </w:tcBorders>
          </w:tcPr>
          <w:p>
            <w:pPr>
              <w:keepLines/>
              <w:spacing w:after="0"/>
            </w:pPr>
            <w:r>
              <w:rPr>
                <w:rFonts w:ascii="Calibri" w:hAnsi="Calibri"/>
                <w:b w:val="0"/>
                <w:i w:val="0"/>
                <w:color w:val="222222"/>
                <w:sz w:val="18"/>
              </w:rPr>
              <w:t>Resolved</w:t>
            </w:r>
          </w:p>
        </w:tc>
      </w:tr>
      <w:tr>
        <w:trPr>
          <w:cantSplit/>
        </w:trPr>
        <w:tc>
          <w:tcPr>
            <w:tcW w:type="dxa" w:w="1296"/>
            <w:tcMar>
              <w:top w:w="80" w:type="dxa"/>
              <w:start w:w="100" w:type="dxa"/>
              <w:bottom w:w="80" w:type="dxa"/>
              <w:end w:w="100" w:type="dxa"/>
            </w:tcMar>
            <w:tcBorders>
              <w:top w:val="single" w:sz="4" w:color="C7D0D9"/>
              <w:left w:val="single" w:sz="4" w:color="C7D0D9"/>
              <w:bottom w:val="single" w:sz="4" w:color="C7D0D9"/>
              <w:right w:val="single" w:sz="4" w:color="C7D0D9"/>
            </w:tcBorders>
            <w:shd w:fill="F3F5F7" w:val="clear"/>
          </w:tcPr>
          <w:p>
            <w:pPr>
              <w:keepLines/>
              <w:spacing w:after="0"/>
            </w:pPr>
            <w:r>
              <w:rPr>
                <w:rFonts w:ascii="Calibri" w:hAnsi="Calibri"/>
                <w:b/>
                <w:i w:val="0"/>
                <w:color w:val="606A76"/>
                <w:sz w:val="17"/>
              </w:rPr>
              <w:t>Platform</w:t>
            </w:r>
          </w:p>
        </w:tc>
        <w:tc>
          <w:tcPr>
            <w:tcW w:type="dxa" w:w="3240"/>
            <w:tcMar>
              <w:top w:w="80" w:type="dxa"/>
              <w:start w:w="100" w:type="dxa"/>
              <w:bottom w:w="80" w:type="dxa"/>
              <w:end w:w="100" w:type="dxa"/>
            </w:tcMar>
            <w:tcBorders>
              <w:top w:val="single" w:sz="4" w:color="C7D0D9"/>
              <w:left w:val="single" w:sz="4" w:color="C7D0D9"/>
              <w:bottom w:val="single" w:sz="4" w:color="C7D0D9"/>
              <w:right w:val="single" w:sz="4" w:color="C7D0D9"/>
            </w:tcBorders>
          </w:tcPr>
          <w:p>
            <w:pPr>
              <w:keepLines/>
              <w:spacing w:after="0"/>
            </w:pPr>
            <w:r>
              <w:rPr>
                <w:rFonts w:ascii="Calibri" w:hAnsi="Calibri"/>
                <w:b w:val="0"/>
                <w:i w:val="0"/>
                <w:color w:val="222222"/>
                <w:sz w:val="18"/>
              </w:rPr>
              <w:t>VMware ESXi 8.0.3 / RHEL 9</w:t>
            </w:r>
          </w:p>
        </w:tc>
        <w:tc>
          <w:tcPr>
            <w:tcW w:type="dxa" w:w="1224"/>
            <w:tcMar>
              <w:top w:w="80" w:type="dxa"/>
              <w:start w:w="100" w:type="dxa"/>
              <w:bottom w:w="80" w:type="dxa"/>
              <w:end w:w="100" w:type="dxa"/>
            </w:tcMar>
            <w:tcBorders>
              <w:top w:val="single" w:sz="4" w:color="C7D0D9"/>
              <w:left w:val="single" w:sz="4" w:color="C7D0D9"/>
              <w:bottom w:val="single" w:sz="4" w:color="C7D0D9"/>
              <w:right w:val="single" w:sz="4" w:color="C7D0D9"/>
            </w:tcBorders>
            <w:shd w:fill="F3F5F7" w:val="clear"/>
          </w:tcPr>
          <w:p>
            <w:pPr>
              <w:keepLines/>
              <w:spacing w:after="0"/>
            </w:pPr>
            <w:r>
              <w:rPr>
                <w:rFonts w:ascii="Calibri" w:hAnsi="Calibri"/>
                <w:b/>
                <w:i w:val="0"/>
                <w:color w:val="606A76"/>
                <w:sz w:val="17"/>
              </w:rPr>
              <w:t>Prepared</w:t>
            </w:r>
          </w:p>
        </w:tc>
        <w:tc>
          <w:tcPr>
            <w:tcW w:type="dxa" w:w="3528"/>
            <w:tcMar>
              <w:top w:w="80" w:type="dxa"/>
              <w:start w:w="100" w:type="dxa"/>
              <w:bottom w:w="80" w:type="dxa"/>
              <w:end w:w="100" w:type="dxa"/>
            </w:tcMar>
            <w:tcBorders>
              <w:top w:val="single" w:sz="4" w:color="C7D0D9"/>
              <w:left w:val="single" w:sz="4" w:color="C7D0D9"/>
              <w:bottom w:val="single" w:sz="4" w:color="C7D0D9"/>
              <w:right w:val="single" w:sz="4" w:color="C7D0D9"/>
            </w:tcBorders>
          </w:tcPr>
          <w:p>
            <w:pPr>
              <w:keepLines/>
              <w:spacing w:after="0"/>
            </w:pPr>
            <w:r>
              <w:rPr>
                <w:rFonts w:ascii="Calibri" w:hAnsi="Calibri"/>
                <w:b w:val="0"/>
                <w:i w:val="0"/>
                <w:color w:val="222222"/>
                <w:sz w:val="18"/>
              </w:rPr>
              <w:t>2 September 2026</w:t>
            </w:r>
          </w:p>
        </w:tc>
      </w:tr>
    </w:tbl>
    <w:p>
      <w:pPr>
        <w:spacing w:after="0"/>
      </w:pPr>
    </w:p>
    <w:tbl>
      <w:tblPr>
        <w:tblW w:type="auto" w:w="0"/>
        <w:jc w:val="center"/>
        <w:tblLayout w:type="fixed"/>
        <w:tblLook w:firstColumn="1" w:firstRow="1" w:lastColumn="0" w:lastRow="0" w:noHBand="0" w:noVBand="1" w:val="04A0"/>
      </w:tblPr>
      <w:tblGrid>
        <w:gridCol w:w="9994"/>
      </w:tblGrid>
      <w:tr>
        <w:trPr>
          <w:cantSplit/>
        </w:trPr>
        <w:tc>
          <w:tcPr>
            <w:tcW w:type="dxa" w:w="9288"/>
            <w:shd w:fill="EAF4EA" w:val="clear"/>
            <w:tcBorders>
              <w:top w:val="single" w:sz="10" w:color="70AD47"/>
              <w:left w:val="single" w:sz="10" w:color="70AD47"/>
              <w:bottom w:val="single" w:sz="10" w:color="70AD47"/>
              <w:right w:val="single" w:sz="10" w:color="70AD47"/>
            </w:tcBorders>
            <w:tcMar>
              <w:top w:w="150" w:type="dxa"/>
              <w:start w:w="180" w:type="dxa"/>
              <w:bottom w:w="150" w:type="dxa"/>
              <w:end w:w="180" w:type="dxa"/>
            </w:tcMar>
          </w:tcPr>
          <w:p>
            <w:pPr>
              <w:keepLines/>
              <w:spacing w:after="100"/>
            </w:pPr>
            <w:r>
              <w:rPr>
                <w:rFonts w:ascii="Calibri" w:hAnsi="Calibri"/>
                <w:b/>
                <w:i w:val="0"/>
                <w:color w:val="17365D"/>
                <w:sz w:val="22"/>
              </w:rPr>
              <w:t>Executive summary</w:t>
            </w:r>
          </w:p>
          <w:p>
            <w:pPr>
              <w:keepLines/>
              <w:spacing w:after="0" w:line="259" w:lineRule="auto"/>
            </w:pPr>
            <w:r>
              <w:rPr>
                <w:rFonts w:ascii="Calibri" w:hAnsi="Calibri"/>
                <w:b w:val="0"/>
                <w:i w:val="0"/>
                <w:color w:val="222222"/>
                <w:sz w:val="21"/>
              </w:rPr>
              <w:t>A VMware setting required for multi-GPU communication was not enabled on the virtual GPUs. This meant the server could see all four GPUs, but a single model could not use them together. AI Engineering isolated the issue, worked with NVIDIA to confirm the cause, validated the change on the development server, and then repeated the same change successfully in production. Multi-GPU inference is now working.</w:t>
            </w:r>
          </w:p>
        </w:tc>
      </w:tr>
    </w:tbl>
    <w:p>
      <w:pPr>
        <w:spacing w:after="0"/>
      </w:pPr>
    </w:p>
    <w:p>
      <w:pPr>
        <w:pStyle w:val="Heading1"/>
      </w:pPr>
      <w:r>
        <w:t>What happened</w:t>
      </w:r>
    </w:p>
    <w:p>
      <w:pPr>
        <w:spacing w:after="120" w:line="259" w:lineRule="auto"/>
      </w:pPr>
      <w:r>
        <w:rPr>
          <w:rFonts w:ascii="Calibri" w:hAnsi="Calibri"/>
          <w:b w:val="0"/>
          <w:i w:val="0"/>
          <w:color w:val="222222"/>
          <w:sz w:val="21"/>
        </w:rPr>
        <w:t>The production server had four NVIDIA H200 virtual GPUs available. Normal checks showed that the operating system and container could see them, but model startup failed as soon as the workload tried to use more than one GPU. Single-GPU workloads continued to work.</w:t>
      </w:r>
    </w:p>
    <w:tbl>
      <w:tblPr>
        <w:tblW w:type="auto" w:w="0"/>
        <w:jc w:val="center"/>
        <w:tblLayout w:type="fixed"/>
        <w:tblLook w:firstColumn="1" w:firstRow="1" w:lastColumn="0" w:lastRow="0" w:noHBand="0" w:noVBand="1" w:val="04A0"/>
      </w:tblPr>
      <w:tblGrid>
        <w:gridCol w:w="4997"/>
        <w:gridCol w:w="4997"/>
      </w:tblGrid>
      <w:tr>
        <w:trPr>
          <w:cantSplit/>
        </w:trPr>
        <w:tc>
          <w:tcPr>
            <w:tcW w:type="dxa" w:w="4644"/>
            <w:tcMar>
              <w:top w:w="110" w:type="dxa"/>
              <w:start w:w="140" w:type="dxa"/>
              <w:bottom w:w="110" w:type="dxa"/>
              <w:end w:w="140" w:type="dxa"/>
            </w:tcMar>
            <w:tcBorders>
              <w:top w:val="single" w:sz="6" w:color="C7D0D9"/>
              <w:left w:val="single" w:sz="6" w:color="C7D0D9"/>
              <w:bottom w:val="single" w:sz="6" w:color="C7D0D9"/>
              <w:right w:val="single" w:sz="6" w:color="C7D0D9"/>
            </w:tcBorders>
            <w:shd w:fill="17365D" w:val="clear"/>
          </w:tcPr>
          <w:p>
            <w:pPr>
              <w:keepLines/>
              <w:spacing w:after="0"/>
            </w:pPr>
            <w:r>
              <w:rPr>
                <w:rFonts w:ascii="Calibri" w:hAnsi="Calibri"/>
                <w:b/>
                <w:i w:val="0"/>
                <w:color w:val="FFFFFF"/>
                <w:sz w:val="18"/>
              </w:rPr>
              <w:t>Before the change</w:t>
            </w:r>
          </w:p>
        </w:tc>
        <w:tc>
          <w:tcPr>
            <w:tcW w:type="dxa" w:w="4644"/>
            <w:tcMar>
              <w:top w:w="110" w:type="dxa"/>
              <w:start w:w="140" w:type="dxa"/>
              <w:bottom w:w="110" w:type="dxa"/>
              <w:end w:w="140" w:type="dxa"/>
            </w:tcMar>
            <w:tcBorders>
              <w:top w:val="single" w:sz="6" w:color="C7D0D9"/>
              <w:left w:val="single" w:sz="6" w:color="C7D0D9"/>
              <w:bottom w:val="single" w:sz="6" w:color="C7D0D9"/>
              <w:right w:val="single" w:sz="6" w:color="C7D0D9"/>
            </w:tcBorders>
            <w:shd w:fill="2F75B5" w:val="clear"/>
          </w:tcPr>
          <w:p>
            <w:pPr>
              <w:keepLines/>
              <w:spacing w:after="0"/>
            </w:pPr>
            <w:r>
              <w:rPr>
                <w:rFonts w:ascii="Calibri" w:hAnsi="Calibri"/>
                <w:b/>
                <w:i w:val="0"/>
                <w:color w:val="FFFFFF"/>
                <w:sz w:val="18"/>
              </w:rPr>
              <w:t>After the change</w:t>
            </w:r>
          </w:p>
        </w:tc>
      </w:tr>
      <w:tr>
        <w:trPr>
          <w:cantSplit/>
        </w:trPr>
        <w:tc>
          <w:tcPr>
            <w:tcW w:type="dxa" w:w="4644"/>
            <w:tcMar>
              <w:top w:w="110" w:type="dxa"/>
              <w:start w:w="140" w:type="dxa"/>
              <w:bottom w:w="110" w:type="dxa"/>
              <w:end w:w="140" w:type="dxa"/>
            </w:tcMar>
            <w:tcBorders>
              <w:top w:val="single" w:sz="6" w:color="C7D0D9"/>
              <w:left w:val="single" w:sz="6" w:color="C7D0D9"/>
              <w:bottom w:val="single" w:sz="6" w:color="C7D0D9"/>
              <w:right w:val="single" w:sz="6" w:color="C7D0D9"/>
            </w:tcBorders>
          </w:tcPr>
          <w:p>
            <w:pPr>
              <w:keepLines/>
              <w:spacing w:after="0"/>
            </w:pPr>
            <w:r>
              <w:rPr>
                <w:rFonts w:ascii="Calibri" w:hAnsi="Calibri"/>
                <w:b w:val="0"/>
                <w:i w:val="0"/>
                <w:color w:val="222222"/>
                <w:sz w:val="18"/>
              </w:rPr>
              <w:t>All four GPUs were visible, but they could not work together for one model.</w:t>
            </w:r>
          </w:p>
        </w:tc>
        <w:tc>
          <w:tcPr>
            <w:tcW w:type="dxa" w:w="4644"/>
            <w:tcMar>
              <w:top w:w="110" w:type="dxa"/>
              <w:start w:w="140" w:type="dxa"/>
              <w:bottom w:w="110" w:type="dxa"/>
              <w:end w:w="140" w:type="dxa"/>
            </w:tcMar>
            <w:tcBorders>
              <w:top w:val="single" w:sz="6" w:color="C7D0D9"/>
              <w:left w:val="single" w:sz="6" w:color="C7D0D9"/>
              <w:bottom w:val="single" w:sz="6" w:color="C7D0D9"/>
              <w:right w:val="single" w:sz="6" w:color="C7D0D9"/>
            </w:tcBorders>
          </w:tcPr>
          <w:p>
            <w:pPr>
              <w:keepLines/>
              <w:spacing w:after="0"/>
            </w:pPr>
            <w:r>
              <w:rPr>
                <w:rFonts w:ascii="Calibri" w:hAnsi="Calibri"/>
                <w:b w:val="0"/>
                <w:i w:val="0"/>
                <w:color w:val="222222"/>
                <w:sz w:val="18"/>
              </w:rPr>
              <w:t>The four GPUs can now be used together for tensor-parallel inference.</w:t>
            </w:r>
          </w:p>
        </w:tc>
      </w:tr>
      <w:tr>
        <w:trPr>
          <w:cantSplit/>
        </w:trPr>
        <w:tc>
          <w:tcPr>
            <w:tcW w:type="dxa" w:w="4644"/>
            <w:tcMar>
              <w:top w:w="110" w:type="dxa"/>
              <w:start w:w="140" w:type="dxa"/>
              <w:bottom w:w="110" w:type="dxa"/>
              <w:end w:w="140" w:type="dxa"/>
            </w:tcMar>
            <w:tcBorders>
              <w:top w:val="single" w:sz="6" w:color="C7D0D9"/>
              <w:left w:val="single" w:sz="6" w:color="C7D0D9"/>
              <w:bottom w:val="single" w:sz="6" w:color="C7D0D9"/>
              <w:right w:val="single" w:sz="6" w:color="C7D0D9"/>
            </w:tcBorders>
          </w:tcPr>
          <w:p>
            <w:pPr>
              <w:keepLines/>
              <w:spacing w:after="0"/>
            </w:pPr>
            <w:r>
              <w:rPr>
                <w:rFonts w:ascii="Calibri" w:hAnsi="Calibri"/>
                <w:b w:val="0"/>
                <w:i w:val="0"/>
                <w:color w:val="222222"/>
                <w:sz w:val="18"/>
              </w:rPr>
              <w:t>Large multi-GPU model launches failed during startup.</w:t>
            </w:r>
          </w:p>
        </w:tc>
        <w:tc>
          <w:tcPr>
            <w:tcW w:type="dxa" w:w="4644"/>
            <w:tcMar>
              <w:top w:w="110" w:type="dxa"/>
              <w:start w:w="140" w:type="dxa"/>
              <w:bottom w:w="110" w:type="dxa"/>
              <w:end w:w="140" w:type="dxa"/>
            </w:tcMar>
            <w:tcBorders>
              <w:top w:val="single" w:sz="6" w:color="C7D0D9"/>
              <w:left w:val="single" w:sz="6" w:color="C7D0D9"/>
              <w:bottom w:val="single" w:sz="6" w:color="C7D0D9"/>
              <w:right w:val="single" w:sz="6" w:color="C7D0D9"/>
            </w:tcBorders>
          </w:tcPr>
          <w:p>
            <w:pPr>
              <w:keepLines/>
              <w:spacing w:after="0"/>
            </w:pPr>
            <w:r>
              <w:rPr>
                <w:rFonts w:ascii="Calibri" w:hAnsi="Calibri"/>
                <w:b w:val="0"/>
                <w:i w:val="0"/>
                <w:color w:val="222222"/>
                <w:sz w:val="18"/>
              </w:rPr>
              <w:t>The same multi-GPU startup test completed successfully in development and production.</w:t>
            </w:r>
          </w:p>
        </w:tc>
      </w:tr>
    </w:tbl>
    <w:p>
      <w:pPr>
        <w:pStyle w:val="Heading1"/>
      </w:pPr>
      <w:r>
        <w:t>Why it happened</w:t>
      </w:r>
    </w:p>
    <w:p>
      <w:pPr>
        <w:spacing w:after="120" w:line="259" w:lineRule="auto"/>
      </w:pPr>
      <w:r>
        <w:rPr>
          <w:rFonts w:ascii="Calibri" w:hAnsi="Calibri"/>
          <w:b w:val="0"/>
          <w:i w:val="0"/>
          <w:color w:val="222222"/>
          <w:sz w:val="21"/>
        </w:rPr>
        <w:t>The required VMware Unified Virtual Memory (UVM) setting was disabled for each virtual GPU. NVIDIA's multi-GPU communication software needs that capability during startup. Without it, the software stopped before the model could be spread across the GPUs. The original error message pointed to a lower-level memory-allocation failure, so the cause was not obvious from the application logs alone.</w:t>
      </w:r>
    </w:p>
    <w:p>
      <w:pPr>
        <w:pStyle w:val="Heading1"/>
      </w:pPr>
      <w:r>
        <w:t>How the issue was resolved</w:t>
      </w:r>
    </w:p>
    <w:p>
      <w:pPr>
        <w:spacing w:after="120" w:line="259" w:lineRule="auto"/>
      </w:pPr>
      <w:r>
        <w:rPr>
          <w:rFonts w:ascii="Calibri" w:hAnsi="Calibri"/>
          <w:b w:val="0"/>
          <w:i w:val="0"/>
          <w:color w:val="222222"/>
          <w:sz w:val="21"/>
        </w:rPr>
        <w:t>AI Engineering checked the model configuration, container access, GPU visibility, software versions, and GPU topology. The evidence showed that the failure occurred below the application layer. A complete diagnostic package was then provided to NVIDIA Enterprise Support, which confirmed that UVM needed to be enabled.</w:t>
      </w:r>
    </w:p>
    <w:p>
      <w:pPr>
        <w:spacing w:after="120" w:line="259" w:lineRule="auto"/>
      </w:pPr>
      <w:r>
        <w:rPr>
          <w:rFonts w:ascii="Calibri" w:hAnsi="Calibri"/>
          <w:b w:val="0"/>
          <w:i w:val="0"/>
          <w:color w:val="222222"/>
          <w:sz w:val="21"/>
        </w:rPr>
        <w:t>The VM team powered off the development VM, enabled UVM for all four virtual GPUs, and powered the VM back on. A full power cycle was required because the setting is applied when the virtual GPUs are attached to the VM.</w:t>
      </w:r>
    </w:p>
    <w:p>
      <w:pPr>
        <w:pStyle w:val="Heading1"/>
      </w:pPr>
      <w:r>
        <w:t>Safe validation and production rollout</w:t>
      </w:r>
    </w:p>
    <w:p>
      <w:pPr>
        <w:pStyle w:val="ListBullet"/>
        <w:spacing w:after="80" w:line="252" w:lineRule="auto"/>
        <w:ind w:left="360" w:hanging="216"/>
      </w:pPr>
      <w:r>
        <w:rPr>
          <w:rFonts w:ascii="Calibri" w:hAnsi="Calibri"/>
          <w:b/>
          <w:i w:val="0"/>
          <w:color w:val="222222"/>
          <w:sz w:val="21"/>
        </w:rPr>
        <w:t>Development first:</w:t>
      </w:r>
      <w:r>
        <w:rPr>
          <w:rFonts w:ascii="Calibri" w:hAnsi="Calibri"/>
          <w:b w:val="0"/>
          <w:i w:val="0"/>
          <w:color w:val="222222"/>
          <w:sz w:val="21"/>
        </w:rPr>
        <w:t xml:space="preserve"> The change was applied to the development server and the multi-GPU model was started successfully.</w:t>
      </w:r>
    </w:p>
    <w:p>
      <w:pPr>
        <w:pStyle w:val="ListBullet"/>
        <w:spacing w:after="80" w:line="252" w:lineRule="auto"/>
        <w:ind w:left="360" w:hanging="216"/>
      </w:pPr>
      <w:r>
        <w:rPr>
          <w:rFonts w:ascii="Calibri" w:hAnsi="Calibri"/>
          <w:b/>
          <w:i w:val="0"/>
          <w:color w:val="222222"/>
          <w:sz w:val="21"/>
        </w:rPr>
        <w:t>Controlled promotion:</w:t>
      </w:r>
      <w:r>
        <w:rPr>
          <w:rFonts w:ascii="Calibri" w:hAnsi="Calibri"/>
          <w:b w:val="0"/>
          <w:i w:val="0"/>
          <w:color w:val="222222"/>
          <w:sz w:val="21"/>
        </w:rPr>
        <w:t xml:space="preserve"> Only after the development test passed was the same configuration applied to production.</w:t>
      </w:r>
    </w:p>
    <w:p>
      <w:pPr>
        <w:pStyle w:val="ListBullet"/>
        <w:spacing w:after="80" w:line="252" w:lineRule="auto"/>
        <w:ind w:left="360" w:hanging="216"/>
      </w:pPr>
      <w:r>
        <w:rPr>
          <w:rFonts w:ascii="Calibri" w:hAnsi="Calibri"/>
          <w:b/>
          <w:i w:val="0"/>
          <w:color w:val="222222"/>
          <w:sz w:val="21"/>
        </w:rPr>
        <w:t>Production confirmed:</w:t>
      </w:r>
      <w:r>
        <w:rPr>
          <w:rFonts w:ascii="Calibri" w:hAnsi="Calibri"/>
          <w:b w:val="0"/>
          <w:i w:val="0"/>
          <w:color w:val="222222"/>
          <w:sz w:val="21"/>
        </w:rPr>
        <w:t xml:space="preserve"> The production model started across multiple GPUs without the previous failure.</w:t>
      </w:r>
    </w:p>
    <w:p>
      <w:pPr>
        <w:pStyle w:val="Heading1"/>
      </w:pPr>
      <w:r>
        <w:t>Result and business impact</w:t>
      </w:r>
    </w:p>
    <w:p>
      <w:pPr>
        <w:spacing w:after="120" w:line="259" w:lineRule="auto"/>
      </w:pPr>
      <w:r>
        <w:rPr>
          <w:rFonts w:ascii="Calibri" w:hAnsi="Calibri"/>
          <w:b w:val="0"/>
          <w:i w:val="0"/>
          <w:color w:val="222222"/>
          <w:sz w:val="21"/>
        </w:rPr>
        <w:t>The platform can now run models that need more capacity than a single virtual GPU provides. This restores the intended multi-GPU capability of the host and removes the startup blocker for tensor-parallel inference.</w:t>
      </w:r>
    </w:p>
    <w:tbl>
      <w:tblPr>
        <w:tblW w:type="auto" w:w="0"/>
        <w:jc w:val="center"/>
        <w:tblLayout w:type="fixed"/>
        <w:tblLook w:firstColumn="1" w:firstRow="1" w:lastColumn="0" w:lastRow="0" w:noHBand="0" w:noVBand="1" w:val="04A0"/>
      </w:tblPr>
      <w:tblGrid>
        <w:gridCol w:w="9994"/>
      </w:tblGrid>
      <w:tr>
        <w:trPr>
          <w:cantSplit/>
        </w:trPr>
        <w:tc>
          <w:tcPr>
            <w:tcW w:type="dxa" w:w="9288"/>
            <w:shd w:fill="FFF4CE" w:val="clear"/>
            <w:tcBorders>
              <w:top w:val="single" w:sz="10" w:color="BF9000"/>
              <w:left w:val="single" w:sz="10" w:color="BF9000"/>
              <w:bottom w:val="single" w:sz="10" w:color="BF9000"/>
              <w:right w:val="single" w:sz="10" w:color="BF9000"/>
            </w:tcBorders>
            <w:tcMar>
              <w:top w:w="150" w:type="dxa"/>
              <w:start w:w="180" w:type="dxa"/>
              <w:bottom w:w="150" w:type="dxa"/>
              <w:end w:w="180" w:type="dxa"/>
            </w:tcMar>
          </w:tcPr>
          <w:p>
            <w:pPr>
              <w:keepLines/>
              <w:spacing w:after="100"/>
            </w:pPr>
            <w:r>
              <w:rPr>
                <w:rFonts w:ascii="Calibri" w:hAnsi="Calibri"/>
                <w:b/>
                <w:i w:val="0"/>
                <w:color w:val="17365D"/>
                <w:sz w:val="22"/>
              </w:rPr>
              <w:t>Important operational note</w:t>
            </w:r>
          </w:p>
          <w:p>
            <w:pPr>
              <w:keepLines/>
              <w:spacing w:after="0" w:line="259" w:lineRule="auto"/>
            </w:pPr>
            <w:r>
              <w:rPr>
                <w:rFonts w:ascii="Calibri" w:hAnsi="Calibri"/>
                <w:b w:val="0"/>
                <w:i w:val="0"/>
                <w:color w:val="222222"/>
                <w:sz w:val="21"/>
              </w:rPr>
              <w:t>Enabling UVM disables live migration for these virtual GPUs. Infrastructure teams should therefore plan maintenance and host moves around a full VM shutdown and restart. This is a known platform trade-off, not an unresolved fault.</w:t>
            </w:r>
          </w:p>
        </w:tc>
      </w:tr>
    </w:tbl>
    <w:p>
      <w:pPr>
        <w:spacing w:after="0"/>
      </w:pPr>
    </w:p>
    <w:p>
      <w:pPr>
        <w:pStyle w:val="Heading1"/>
      </w:pPr>
      <w:r>
        <w:t>What should be retained</w:t>
      </w:r>
    </w:p>
    <w:p>
      <w:pPr>
        <w:pStyle w:val="ListBullet"/>
        <w:spacing w:after="80" w:line="252" w:lineRule="auto"/>
        <w:ind w:left="360" w:hanging="216"/>
      </w:pPr>
      <w:r>
        <w:rPr>
          <w:rFonts w:ascii="Calibri" w:hAnsi="Calibri"/>
          <w:b w:val="0"/>
          <w:i w:val="0"/>
          <w:color w:val="222222"/>
          <w:sz w:val="21"/>
        </w:rPr>
        <w:t>Keep the four UVM entries in the production VM configuration.</w:t>
      </w:r>
    </w:p>
    <w:p>
      <w:pPr>
        <w:pStyle w:val="ListBullet"/>
        <w:spacing w:after="80" w:line="252" w:lineRule="auto"/>
        <w:ind w:left="360" w:hanging="216"/>
      </w:pPr>
      <w:r>
        <w:rPr>
          <w:rFonts w:ascii="Calibri" w:hAnsi="Calibri"/>
          <w:b w:val="0"/>
          <w:i w:val="0"/>
          <w:color w:val="222222"/>
          <w:sz w:val="21"/>
        </w:rPr>
        <w:t>Include a multi-GPU startup check after VM or vGPU configuration changes.</w:t>
      </w:r>
    </w:p>
    <w:p>
      <w:pPr>
        <w:pStyle w:val="ListBullet"/>
        <w:spacing w:after="80" w:line="252" w:lineRule="auto"/>
        <w:ind w:left="360" w:hanging="216"/>
      </w:pPr>
      <w:r>
        <w:rPr>
          <w:rFonts w:ascii="Calibri" w:hAnsi="Calibri"/>
          <w:b w:val="0"/>
          <w:i w:val="0"/>
          <w:color w:val="222222"/>
          <w:sz w:val="21"/>
        </w:rPr>
        <w:t>Record the loss of live migration in the VM's operating and maintenance notes.</w:t>
      </w:r>
    </w:p>
    <w:p>
      <w:pPr>
        <w:pStyle w:val="Heading1"/>
      </w:pPr>
      <w:r>
        <w:t>Technical appendix — VM settings applied</w:t>
      </w:r>
    </w:p>
    <w:p>
      <w:pPr>
        <w:spacing w:after="120" w:line="259" w:lineRule="auto"/>
      </w:pPr>
      <w:r>
        <w:rPr>
          <w:rFonts w:ascii="Calibri" w:hAnsi="Calibri"/>
          <w:b w:val="0"/>
          <w:i w:val="0"/>
          <w:color w:val="222222"/>
          <w:sz w:val="21"/>
        </w:rPr>
        <w:t>The following settings were enabled for the four H200 virtual GPUs. This section is included so the working configuration can be reproduced; it is not required reading for the management summary.</w:t>
      </w:r>
    </w:p>
    <w:tbl>
      <w:tblPr>
        <w:tblW w:type="auto" w:w="0"/>
        <w:jc w:val="center"/>
        <w:tblLayout w:type="fixed"/>
        <w:tblLook w:firstColumn="1" w:firstRow="1" w:lastColumn="0" w:lastRow="0" w:noHBand="0" w:noVBand="1" w:val="04A0"/>
      </w:tblPr>
      <w:tblGrid>
        <w:gridCol w:w="9994"/>
      </w:tblGrid>
      <w:tr>
        <w:trPr>
          <w:cantSplit/>
        </w:trPr>
        <w:tc>
          <w:tcPr>
            <w:tcW w:type="dxa" w:w="9288"/>
            <w:shd w:fill="F3F5F7" w:val="clear"/>
            <w:tcBorders>
              <w:top w:val="single" w:sz="6" w:color="C7D0D9"/>
              <w:left w:val="single" w:sz="6" w:color="C7D0D9"/>
              <w:bottom w:val="single" w:sz="6" w:color="C7D0D9"/>
              <w:right w:val="single" w:sz="6" w:color="C7D0D9"/>
            </w:tcBorders>
            <w:tcMar>
              <w:top w:w="160" w:type="dxa"/>
              <w:start w:w="180" w:type="dxa"/>
              <w:bottom w:w="160" w:type="dxa"/>
              <w:end w:w="180" w:type="dxa"/>
            </w:tcMar>
          </w:tcPr>
          <w:p>
            <w:pPr>
              <w:pStyle w:val="CodeBrief"/>
              <w:keepLines/>
            </w:pPr>
            <w:r>
              <w:rPr>
                <w:rFonts w:ascii="Consolas" w:hAnsi="Consolas"/>
                <w:b w:val="0"/>
                <w:i w:val="0"/>
                <w:color w:val="17365D"/>
                <w:sz w:val="17"/>
              </w:rPr>
              <w:t>pciPassthru0.cfg.enable_uvm = 1</w:t>
            </w:r>
            <w:r>
              <w:br/>
            </w:r>
            <w:r>
              <w:rPr>
                <w:rFonts w:ascii="Consolas" w:hAnsi="Consolas"/>
                <w:b w:val="0"/>
                <w:i w:val="0"/>
                <w:color w:val="17365D"/>
                <w:sz w:val="17"/>
              </w:rPr>
              <w:t>pciPassthru1.cfg.enable_uvm = 1</w:t>
            </w:r>
            <w:r>
              <w:br/>
            </w:r>
            <w:r>
              <w:rPr>
                <w:rFonts w:ascii="Consolas" w:hAnsi="Consolas"/>
                <w:b w:val="0"/>
                <w:i w:val="0"/>
                <w:color w:val="17365D"/>
                <w:sz w:val="17"/>
              </w:rPr>
              <w:t>pciPassthru2.cfg.enable_uvm = 1</w:t>
            </w:r>
            <w:r>
              <w:br/>
            </w:r>
            <w:r>
              <w:rPr>
                <w:rFonts w:ascii="Consolas" w:hAnsi="Consolas"/>
                <w:b w:val="0"/>
                <w:i w:val="0"/>
                <w:color w:val="17365D"/>
                <w:sz w:val="17"/>
              </w:rPr>
              <w:t>pciPassthru3.cfg.enable_uvm = 1</w:t>
            </w:r>
          </w:p>
        </w:tc>
      </w:tr>
    </w:tbl>
    <w:p>
      <w:pPr>
        <w:pStyle w:val="Heading1"/>
      </w:pPr>
      <w:r>
        <w:t>Related VM memory-mapping checks</w:t>
      </w:r>
    </w:p>
    <w:p>
      <w:pPr>
        <w:spacing w:after="120" w:line="259" w:lineRule="auto"/>
      </w:pPr>
      <w:r>
        <w:rPr>
          <w:rFonts w:ascii="Calibri" w:hAnsi="Calibri"/>
          <w:b w:val="0"/>
          <w:i w:val="0"/>
          <w:color w:val="222222"/>
          <w:sz w:val="21"/>
        </w:rPr>
        <w:t>These settings were also reviewed because large vGPU configurations require adequate 64-bit MMIO space:</w:t>
      </w:r>
    </w:p>
    <w:tbl>
      <w:tblPr>
        <w:tblW w:type="auto" w:w="0"/>
        <w:jc w:val="center"/>
        <w:tblLayout w:type="fixed"/>
        <w:tblLook w:firstColumn="1" w:firstRow="1" w:lastColumn="0" w:lastRow="0" w:noHBand="0" w:noVBand="1" w:val="04A0"/>
      </w:tblPr>
      <w:tblGrid>
        <w:gridCol w:w="9994"/>
      </w:tblGrid>
      <w:tr>
        <w:trPr>
          <w:cantSplit/>
        </w:trPr>
        <w:tc>
          <w:tcPr>
            <w:tcW w:type="dxa" w:w="9288"/>
            <w:shd w:fill="F3F5F7" w:val="clear"/>
            <w:tcBorders>
              <w:top w:val="single" w:sz="6" w:color="C7D0D9"/>
              <w:left w:val="single" w:sz="6" w:color="C7D0D9"/>
              <w:bottom w:val="single" w:sz="6" w:color="C7D0D9"/>
              <w:right w:val="single" w:sz="6" w:color="C7D0D9"/>
            </w:tcBorders>
            <w:tcMar>
              <w:top w:w="140" w:type="dxa"/>
              <w:start w:w="180" w:type="dxa"/>
              <w:bottom w:w="140" w:type="dxa"/>
              <w:end w:w="180" w:type="dxa"/>
            </w:tcMar>
          </w:tcPr>
          <w:p>
            <w:pPr>
              <w:pStyle w:val="CodeBrief"/>
              <w:keepLines/>
            </w:pPr>
            <w:r>
              <w:rPr>
                <w:rFonts w:ascii="Consolas" w:hAnsi="Consolas"/>
                <w:b w:val="0"/>
                <w:i w:val="0"/>
                <w:color w:val="17365D"/>
                <w:sz w:val="17"/>
              </w:rPr>
              <w:t>pciPassthru.use64bitMMIO = TRUE</w:t>
            </w:r>
            <w:r>
              <w:br/>
            </w:r>
            <w:r>
              <w:rPr>
                <w:rFonts w:ascii="Consolas" w:hAnsi="Consolas"/>
                <w:b w:val="0"/>
                <w:i w:val="0"/>
                <w:color w:val="17365D"/>
                <w:sz w:val="17"/>
              </w:rPr>
              <w:t>pciPassthru.64bitMMIOSizeGB = 1024</w:t>
            </w:r>
          </w:p>
        </w:tc>
      </w:tr>
    </w:tbl>
    <w:p>
      <w:pPr>
        <w:pStyle w:val="Heading1"/>
      </w:pPr>
      <w:r>
        <w:t>Environment at time of resolution</w:t>
      </w:r>
    </w:p>
    <w:tbl>
      <w:tblPr>
        <w:tblW w:type="auto" w:w="0"/>
        <w:jc w:val="center"/>
        <w:tblLayout w:type="fixed"/>
        <w:tblLook w:firstColumn="1" w:firstRow="1" w:lastColumn="0" w:lastRow="0" w:noHBand="0" w:noVBand="1" w:val="04A0"/>
      </w:tblPr>
      <w:tblGrid>
        <w:gridCol w:w="4997"/>
        <w:gridCol w:w="4997"/>
      </w:tblGrid>
      <w:tr>
        <w:trPr>
          <w:cantSplit/>
        </w:trPr>
        <w:tc>
          <w:tcPr>
            <w:tcW w:type="dxa" w:w="2592"/>
            <w:tcMar>
              <w:top w:w="85" w:type="dxa"/>
              <w:start w:w="110" w:type="dxa"/>
              <w:bottom w:w="85" w:type="dxa"/>
              <w:end w:w="110" w:type="dxa"/>
            </w:tcMar>
            <w:tcBorders>
              <w:top w:val="single" w:sz="4" w:color="C7D0D9"/>
              <w:left w:val="single" w:sz="4" w:color="C7D0D9"/>
              <w:bottom w:val="single" w:sz="4" w:color="C7D0D9"/>
              <w:right w:val="single" w:sz="4" w:color="C7D0D9"/>
            </w:tcBorders>
            <w:shd w:fill="EAF2F8" w:val="clear"/>
            <w:vAlign w:val="center"/>
          </w:tcPr>
          <w:p>
            <w:pPr>
              <w:keepLines/>
              <w:spacing w:after="0"/>
            </w:pPr>
            <w:r>
              <w:rPr>
                <w:rFonts w:ascii="Calibri" w:hAnsi="Calibri"/>
                <w:b/>
                <w:i w:val="0"/>
                <w:color w:val="17365D"/>
                <w:sz w:val="18"/>
              </w:rPr>
              <w:t>Production server</w:t>
            </w:r>
          </w:p>
        </w:tc>
        <w:tc>
          <w:tcPr>
            <w:tcW w:type="dxa" w:w="6696"/>
            <w:tcMar>
              <w:top w:w="85" w:type="dxa"/>
              <w:start w:w="110" w:type="dxa"/>
              <w:bottom w:w="85" w:type="dxa"/>
              <w:end w:w="110" w:type="dxa"/>
            </w:tcMar>
            <w:tcBorders>
              <w:top w:val="single" w:sz="4" w:color="C7D0D9"/>
              <w:left w:val="single" w:sz="4" w:color="C7D0D9"/>
              <w:bottom w:val="single" w:sz="4" w:color="C7D0D9"/>
              <w:right w:val="single" w:sz="4" w:color="C7D0D9"/>
            </w:tcBorders>
            <w:vAlign w:val="center"/>
          </w:tcPr>
          <w:p>
            <w:pPr>
              <w:keepLines/>
              <w:spacing w:after="0"/>
            </w:pPr>
            <w:r>
              <w:rPr>
                <w:rFonts w:ascii="Calibri" w:hAnsi="Calibri"/>
                <w:b w:val="0"/>
                <w:i w:val="0"/>
                <w:color w:val="222222"/>
                <w:sz w:val="18"/>
              </w:rPr>
              <w:t>cbq2-svd-dsgpu2 (10.1.94.110)</w:t>
            </w:r>
          </w:p>
        </w:tc>
      </w:tr>
      <w:tr>
        <w:trPr>
          <w:cantSplit/>
        </w:trPr>
        <w:tc>
          <w:tcPr>
            <w:tcW w:type="dxa" w:w="2592"/>
            <w:tcMar>
              <w:top w:w="85" w:type="dxa"/>
              <w:start w:w="110" w:type="dxa"/>
              <w:bottom w:w="85" w:type="dxa"/>
              <w:end w:w="110" w:type="dxa"/>
            </w:tcMar>
            <w:tcBorders>
              <w:top w:val="single" w:sz="4" w:color="C7D0D9"/>
              <w:left w:val="single" w:sz="4" w:color="C7D0D9"/>
              <w:bottom w:val="single" w:sz="4" w:color="C7D0D9"/>
              <w:right w:val="single" w:sz="4" w:color="C7D0D9"/>
            </w:tcBorders>
            <w:shd w:fill="EAF2F8" w:val="clear"/>
            <w:vAlign w:val="center"/>
          </w:tcPr>
          <w:p>
            <w:pPr>
              <w:keepLines/>
              <w:spacing w:after="0"/>
            </w:pPr>
            <w:r>
              <w:rPr>
                <w:rFonts w:ascii="Calibri" w:hAnsi="Calibri"/>
                <w:b/>
                <w:i w:val="0"/>
                <w:color w:val="17365D"/>
                <w:sz w:val="18"/>
              </w:rPr>
              <w:t>Virtual GPUs</w:t>
            </w:r>
          </w:p>
        </w:tc>
        <w:tc>
          <w:tcPr>
            <w:tcW w:type="dxa" w:w="6696"/>
            <w:tcMar>
              <w:top w:w="85" w:type="dxa"/>
              <w:start w:w="110" w:type="dxa"/>
              <w:bottom w:w="85" w:type="dxa"/>
              <w:end w:w="110" w:type="dxa"/>
            </w:tcMar>
            <w:tcBorders>
              <w:top w:val="single" w:sz="4" w:color="C7D0D9"/>
              <w:left w:val="single" w:sz="4" w:color="C7D0D9"/>
              <w:bottom w:val="single" w:sz="4" w:color="C7D0D9"/>
              <w:right w:val="single" w:sz="4" w:color="C7D0D9"/>
            </w:tcBorders>
            <w:vAlign w:val="center"/>
          </w:tcPr>
          <w:p>
            <w:pPr>
              <w:keepLines/>
              <w:spacing w:after="0"/>
            </w:pPr>
            <w:r>
              <w:rPr>
                <w:rFonts w:ascii="Calibri" w:hAnsi="Calibri"/>
                <w:b w:val="0"/>
                <w:i w:val="0"/>
                <w:color w:val="222222"/>
                <w:sz w:val="18"/>
              </w:rPr>
              <w:t>4 × NVIDIA H200-141C, 144,384 MiB each</w:t>
            </w:r>
          </w:p>
        </w:tc>
      </w:tr>
      <w:tr>
        <w:trPr>
          <w:cantSplit/>
        </w:trPr>
        <w:tc>
          <w:tcPr>
            <w:tcW w:type="dxa" w:w="2592"/>
            <w:tcMar>
              <w:top w:w="85" w:type="dxa"/>
              <w:start w:w="110" w:type="dxa"/>
              <w:bottom w:w="85" w:type="dxa"/>
              <w:end w:w="110" w:type="dxa"/>
            </w:tcMar>
            <w:tcBorders>
              <w:top w:val="single" w:sz="4" w:color="C7D0D9"/>
              <w:left w:val="single" w:sz="4" w:color="C7D0D9"/>
              <w:bottom w:val="single" w:sz="4" w:color="C7D0D9"/>
              <w:right w:val="single" w:sz="4" w:color="C7D0D9"/>
            </w:tcBorders>
            <w:shd w:fill="EAF2F8" w:val="clear"/>
            <w:vAlign w:val="center"/>
          </w:tcPr>
          <w:p>
            <w:pPr>
              <w:keepLines/>
              <w:spacing w:after="0"/>
            </w:pPr>
            <w:r>
              <w:rPr>
                <w:rFonts w:ascii="Calibri" w:hAnsi="Calibri"/>
                <w:b/>
                <w:i w:val="0"/>
                <w:color w:val="17365D"/>
                <w:sz w:val="18"/>
              </w:rPr>
              <w:t>Guest OS</w:t>
            </w:r>
          </w:p>
        </w:tc>
        <w:tc>
          <w:tcPr>
            <w:tcW w:type="dxa" w:w="6696"/>
            <w:tcMar>
              <w:top w:w="85" w:type="dxa"/>
              <w:start w:w="110" w:type="dxa"/>
              <w:bottom w:w="85" w:type="dxa"/>
              <w:end w:w="110" w:type="dxa"/>
            </w:tcMar>
            <w:tcBorders>
              <w:top w:val="single" w:sz="4" w:color="C7D0D9"/>
              <w:left w:val="single" w:sz="4" w:color="C7D0D9"/>
              <w:bottom w:val="single" w:sz="4" w:color="C7D0D9"/>
              <w:right w:val="single" w:sz="4" w:color="C7D0D9"/>
            </w:tcBorders>
            <w:vAlign w:val="center"/>
          </w:tcPr>
          <w:p>
            <w:pPr>
              <w:keepLines/>
              <w:spacing w:after="0"/>
            </w:pPr>
            <w:r>
              <w:rPr>
                <w:rFonts w:ascii="Calibri" w:hAnsi="Calibri"/>
                <w:b w:val="0"/>
                <w:i w:val="0"/>
                <w:color w:val="222222"/>
                <w:sz w:val="18"/>
              </w:rPr>
              <w:t>Red Hat Enterprise Linux 9</w:t>
            </w:r>
          </w:p>
        </w:tc>
      </w:tr>
      <w:tr>
        <w:trPr>
          <w:cantSplit/>
        </w:trPr>
        <w:tc>
          <w:tcPr>
            <w:tcW w:type="dxa" w:w="2592"/>
            <w:tcMar>
              <w:top w:w="85" w:type="dxa"/>
              <w:start w:w="110" w:type="dxa"/>
              <w:bottom w:w="85" w:type="dxa"/>
              <w:end w:w="110" w:type="dxa"/>
            </w:tcMar>
            <w:tcBorders>
              <w:top w:val="single" w:sz="4" w:color="C7D0D9"/>
              <w:left w:val="single" w:sz="4" w:color="C7D0D9"/>
              <w:bottom w:val="single" w:sz="4" w:color="C7D0D9"/>
              <w:right w:val="single" w:sz="4" w:color="C7D0D9"/>
            </w:tcBorders>
            <w:shd w:fill="EAF2F8" w:val="clear"/>
            <w:vAlign w:val="center"/>
          </w:tcPr>
          <w:p>
            <w:pPr>
              <w:keepLines/>
              <w:spacing w:after="0"/>
            </w:pPr>
            <w:r>
              <w:rPr>
                <w:rFonts w:ascii="Calibri" w:hAnsi="Calibri"/>
                <w:b/>
                <w:i w:val="0"/>
                <w:color w:val="17365D"/>
                <w:sz w:val="18"/>
              </w:rPr>
              <w:t>Hypervisor</w:t>
            </w:r>
          </w:p>
        </w:tc>
        <w:tc>
          <w:tcPr>
            <w:tcW w:type="dxa" w:w="6696"/>
            <w:tcMar>
              <w:top w:w="85" w:type="dxa"/>
              <w:start w:w="110" w:type="dxa"/>
              <w:bottom w:w="85" w:type="dxa"/>
              <w:end w:w="110" w:type="dxa"/>
            </w:tcMar>
            <w:tcBorders>
              <w:top w:val="single" w:sz="4" w:color="C7D0D9"/>
              <w:left w:val="single" w:sz="4" w:color="C7D0D9"/>
              <w:bottom w:val="single" w:sz="4" w:color="C7D0D9"/>
              <w:right w:val="single" w:sz="4" w:color="C7D0D9"/>
            </w:tcBorders>
            <w:vAlign w:val="center"/>
          </w:tcPr>
          <w:p>
            <w:pPr>
              <w:keepLines/>
              <w:spacing w:after="0"/>
            </w:pPr>
            <w:r>
              <w:rPr>
                <w:rFonts w:ascii="Calibri" w:hAnsi="Calibri"/>
                <w:b w:val="0"/>
                <w:i w:val="0"/>
                <w:color w:val="222222"/>
                <w:sz w:val="18"/>
              </w:rPr>
              <w:t>VMware ESXi 8.0.3</w:t>
            </w:r>
          </w:p>
        </w:tc>
      </w:tr>
      <w:tr>
        <w:trPr>
          <w:cantSplit/>
        </w:trPr>
        <w:tc>
          <w:tcPr>
            <w:tcW w:type="dxa" w:w="2592"/>
            <w:tcMar>
              <w:top w:w="85" w:type="dxa"/>
              <w:start w:w="110" w:type="dxa"/>
              <w:bottom w:w="85" w:type="dxa"/>
              <w:end w:w="110" w:type="dxa"/>
            </w:tcMar>
            <w:tcBorders>
              <w:top w:val="single" w:sz="4" w:color="C7D0D9"/>
              <w:left w:val="single" w:sz="4" w:color="C7D0D9"/>
              <w:bottom w:val="single" w:sz="4" w:color="C7D0D9"/>
              <w:right w:val="single" w:sz="4" w:color="C7D0D9"/>
            </w:tcBorders>
            <w:shd w:fill="EAF2F8" w:val="clear"/>
            <w:vAlign w:val="center"/>
          </w:tcPr>
          <w:p>
            <w:pPr>
              <w:keepLines/>
              <w:spacing w:after="0"/>
            </w:pPr>
            <w:r>
              <w:rPr>
                <w:rFonts w:ascii="Calibri" w:hAnsi="Calibri"/>
                <w:b/>
                <w:i w:val="0"/>
                <w:color w:val="17365D"/>
                <w:sz w:val="18"/>
              </w:rPr>
              <w:t>Inference stack</w:t>
            </w:r>
          </w:p>
        </w:tc>
        <w:tc>
          <w:tcPr>
            <w:tcW w:type="dxa" w:w="6696"/>
            <w:tcMar>
              <w:top w:w="85" w:type="dxa"/>
              <w:start w:w="110" w:type="dxa"/>
              <w:bottom w:w="85" w:type="dxa"/>
              <w:end w:w="110" w:type="dxa"/>
            </w:tcMar>
            <w:tcBorders>
              <w:top w:val="single" w:sz="4" w:color="C7D0D9"/>
              <w:left w:val="single" w:sz="4" w:color="C7D0D9"/>
              <w:bottom w:val="single" w:sz="4" w:color="C7D0D9"/>
              <w:right w:val="single" w:sz="4" w:color="C7D0D9"/>
            </w:tcBorders>
            <w:vAlign w:val="center"/>
          </w:tcPr>
          <w:p>
            <w:pPr>
              <w:keepLines/>
              <w:spacing w:after="0"/>
            </w:pPr>
            <w:r>
              <w:rPr>
                <w:rFonts w:ascii="Calibri" w:hAnsi="Calibri"/>
                <w:b w:val="0"/>
                <w:i w:val="0"/>
                <w:color w:val="222222"/>
                <w:sz w:val="18"/>
              </w:rPr>
              <w:t>NVIDIA NIM / vLLM with NCCL 2.28.9 + CUDA 13.0</w:t>
            </w:r>
          </w:p>
        </w:tc>
      </w:tr>
    </w:tbl>
    <w:p>
      <w:pPr>
        <w:spacing w:before="200" w:after="0"/>
      </w:pPr>
      <w:r>
        <w:rPr>
          <w:rFonts w:ascii="Calibri" w:hAnsi="Calibri"/>
          <w:b/>
          <w:i w:val="0"/>
          <w:color w:val="606A76"/>
          <w:sz w:val="17"/>
        </w:rPr>
        <w:t xml:space="preserve">Reference: </w:t>
      </w:r>
      <w:r>
        <w:rPr>
          <w:rFonts w:ascii="Calibri" w:hAnsi="Calibri"/>
          <w:b w:val="0"/>
          <w:i w:val="0"/>
          <w:color w:val="606A76"/>
          <w:sz w:val="17"/>
        </w:rPr>
        <w:t>NVIDIA Enterprise Support findings and NVIDIA UVM guidance.</w:t>
      </w:r>
    </w:p>
    <w:sectPr w:rsidR="00FC693F" w:rsidRPr="0006063C" w:rsidSect="00034616">
      <w:headerReference w:type="default" r:id="rId9"/>
      <w:footerReference w:type="default" r:id="rId10"/>
      <w:pgSz w:w="12240" w:h="15840"/>
      <w:pgMar w:top="893" w:right="1123" w:bottom="835" w:left="1123"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606A76"/>
        <w:sz w:val="17"/>
      </w:rPr>
      <w:t xml:space="preserve">Multi-GPU inference report  •  Page </w:t>
    </w:r>
    <w:r>
      <w:rPr>
        <w:rFonts w:ascii="Calibri" w:hAnsi="Calibri"/>
        <w:b w:val="0"/>
        <w:i w:val="0"/>
        <w:color w:val="606A76"/>
        <w:sz w:val="17"/>
      </w:rPr>
      <w:fldChar w:fldCharType="begin"/>
      <w:instrText xml:space="preserve">PAGE</w:instrText>
      <w:fldChar w:fldCharType="separate"/>
      <w:t>1</w:t>
      <w:fldChar w:fldCharType="end"/>
    </w:r>
    <w:r>
      <w:rPr>
        <w:rFonts w:ascii="Calibri" w:hAnsi="Calibri"/>
        <w:b w:val="0"/>
        <w:i w:val="0"/>
        <w:color w:val="606A76"/>
        <w:sz w:val="17"/>
      </w:rPr>
      <w:t xml:space="preserve"> of </w:t>
    </w:r>
    <w:r>
      <w:rPr>
        <w:rFonts w:ascii="Calibri" w:hAnsi="Calibri"/>
        <w:b w:val="0"/>
        <w:i w:val="0"/>
        <w:color w:val="606A76"/>
        <w:sz w:val="17"/>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val="0"/>
        <w:i w:val="0"/>
        <w:color w:val="606A76"/>
        <w:sz w:val="17"/>
      </w:rPr>
      <w:t>AI Engineering  |  Incident Resolution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Calibri" w:hAnsi="Calibri"/>
      <w:b/>
      <w:bCs/>
      <w:color w:val="2F75B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rief">
    <w:name w:val="Code Brief"/>
    <w:pPr>
      <w:spacing w:after="0" w:line="240" w:lineRule="auto"/>
      <w:ind w:left="230"/>
    </w:pPr>
    <w:rPr>
      <w:rFonts w:ascii="Consolas" w:hAnsi="Consolas"/>
      <w:color w:val="17365D"/>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Multi-GPU Inference Incident Resolution</dc:title>
  <dc:subject>Plain-English management report</dc:subject>
  <dc:creator>AI Engineering</dc:creator>
  <cp:keywords>NVIDIA, H200, VMware, UVM, multi-GPU, NCCL, incident resolution</cp:keywords>
  <dc:description>generated by python-docx</dc:description>
  <cp:lastModifiedBy/>
  <cp:revision>1</cp:revision>
  <dcterms:created xsi:type="dcterms:W3CDTF">2013-12-23T23:15:00Z</dcterms:created>
  <dcterms:modified xsi:type="dcterms:W3CDTF">2013-12-23T23:15:00Z</dcterms:modified>
  <cp:category/>
</cp:coreProperties>
</file>