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31868C" w14:textId="77777777" w:rsidR="00094FB7" w:rsidRDefault="00000000">
      <w:pPr>
        <w:pStyle w:val="Title"/>
      </w:pPr>
      <w:proofErr w:type="spellStart"/>
      <w:r>
        <w:t>HyperInvest</w:t>
      </w:r>
      <w:proofErr w:type="spellEnd"/>
      <w:r>
        <w:t xml:space="preserve"> — Systematic Funds, News Sentiment, and a Learning-by-Doing Practice Area</w:t>
      </w:r>
    </w:p>
    <w:p w14:paraId="72038F49" w14:textId="77777777" w:rsidR="00094FB7" w:rsidRDefault="00000000">
      <w:r>
        <w:rPr>
          <w:color w:val="6B625C"/>
          <w:sz w:val="21"/>
        </w:rPr>
        <w:t>FINS3645 Project B · z5538441 · 2026</w:t>
      </w:r>
    </w:p>
    <w:p w14:paraId="0D9CC8FA" w14:textId="77777777" w:rsidR="00094FB7" w:rsidRDefault="00000000">
      <w:pPr>
        <w:pBdr>
          <w:bottom w:val="single" w:sz="12" w:space="4" w:color="0F766E"/>
        </w:pBdr>
      </w:pPr>
      <w:r>
        <w:rPr>
          <w:i/>
          <w:color w:val="0F766E"/>
          <w:sz w:val="21"/>
        </w:rPr>
        <w:t>Evidence, not advice.</w:t>
      </w:r>
    </w:p>
    <w:p w14:paraId="70355DD3" w14:textId="77777777" w:rsidR="00094FB7" w:rsidRDefault="00000000">
      <w:r>
        <w:br w:type="page"/>
      </w:r>
    </w:p>
    <w:p w14:paraId="4A5D5100" w14:textId="77777777" w:rsidR="00094FB7" w:rsidRDefault="00000000">
      <w:pPr>
        <w:pStyle w:val="Heading1"/>
      </w:pPr>
      <w:r>
        <w:lastRenderedPageBreak/>
        <w:t xml:space="preserve">1. The funds and the </w:t>
      </w:r>
      <w:proofErr w:type="spellStart"/>
      <w:r>
        <w:t>backtest</w:t>
      </w:r>
      <w:proofErr w:type="spellEnd"/>
      <w:r>
        <w:t xml:space="preserve"> design</w:t>
      </w:r>
    </w:p>
    <w:p w14:paraId="3B5D67B2" w14:textId="763B044A" w:rsidR="000A359B" w:rsidRDefault="00B87C6F">
      <w:pPr>
        <w:rPr>
          <w:lang w:eastAsia="zh-CN"/>
        </w:rPr>
      </w:pPr>
      <w:r>
        <w:rPr>
          <w:i/>
          <w:color w:val="0F766E"/>
          <w:sz w:val="19"/>
          <w:lang w:eastAsia="zh-CN"/>
        </w:rPr>
        <w:br/>
      </w:r>
      <w:proofErr w:type="spellStart"/>
      <w:r w:rsidR="000A359B">
        <w:rPr>
          <w:lang w:eastAsia="zh-CN"/>
        </w:rPr>
        <w:t>HyperInvest</w:t>
      </w:r>
      <w:proofErr w:type="spellEnd"/>
      <w:r w:rsidR="000A359B">
        <w:rPr>
          <w:lang w:eastAsia="zh-CN"/>
        </w:rPr>
        <w:t xml:space="preserve"> is an investment app, which offers 12 systematically managed funds and one sentiment-</w:t>
      </w:r>
      <w:r w:rsidR="00485FAC">
        <w:rPr>
          <w:lang w:eastAsia="zh-CN"/>
        </w:rPr>
        <w:t>tilted</w:t>
      </w:r>
      <w:r w:rsidR="000A359B">
        <w:rPr>
          <w:lang w:eastAsia="zh-CN"/>
        </w:rPr>
        <w:t xml:space="preserve"> variant designed for the </w:t>
      </w:r>
      <w:r w:rsidR="00485FAC">
        <w:rPr>
          <w:lang w:eastAsia="zh-CN"/>
        </w:rPr>
        <w:t>fusion</w:t>
      </w:r>
      <w:r w:rsidR="000A359B">
        <w:rPr>
          <w:lang w:eastAsia="zh-CN"/>
        </w:rPr>
        <w:t xml:space="preserve"> analysis in Section 4. Investors open the app, compare the out-of-sample historical performance of each fund, read the fund fact sheets, and then decide how to allocate their capital. The funds are the product, and since the products are marketed </w:t>
      </w:r>
      <w:r w:rsidR="00FC1FCB">
        <w:rPr>
          <w:lang w:eastAsia="zh-CN"/>
        </w:rPr>
        <w:t>based on</w:t>
      </w:r>
      <w:r w:rsidR="000A359B">
        <w:rPr>
          <w:lang w:eastAsia="zh-CN"/>
        </w:rPr>
        <w:t xml:space="preserve"> evidence, every performance figure in this report and in the app is out-of-sample. None of them are in-sample fits packaged as results.</w:t>
      </w:r>
    </w:p>
    <w:p w14:paraId="168CF839" w14:textId="72288943" w:rsidR="000A359B" w:rsidRDefault="000B7131">
      <w:proofErr w:type="spellStart"/>
      <w:r>
        <w:rPr>
          <w:lang w:eastAsia="zh-CN"/>
        </w:rPr>
        <w:t>HyperInvest</w:t>
      </w:r>
      <w:proofErr w:type="spellEnd"/>
      <w:r>
        <w:rPr>
          <w:lang w:eastAsia="zh-CN"/>
        </w:rPr>
        <w:t xml:space="preserve"> offers</w:t>
      </w:r>
      <w:r w:rsidR="000A359B">
        <w:t xml:space="preserve"> a complete matrix</w:t>
      </w:r>
      <w:r>
        <w:t xml:space="preserve"> of funds: </w:t>
      </w:r>
      <w:r w:rsidR="000A359B">
        <w:t xml:space="preserve">three asset families </w:t>
      </w:r>
      <w:r w:rsidR="00333D80">
        <w:t>crossed with</w:t>
      </w:r>
      <w:r w:rsidR="000A359B">
        <w:t xml:space="preserve"> construction methods. The asset families </w:t>
      </w:r>
      <w:r w:rsidR="00FC1FCB">
        <w:t>are</w:t>
      </w:r>
      <w:r w:rsidR="000A359B">
        <w:t xml:space="preserve"> the mixed portfolio (50 U.S. large capital stocks spanning ten industries and 10 cryptocurrencies, for a total of 60 assets); the pure stock portfolio; and the pure cryptocurrency portfolio. The methods are equal-weight, minimum</w:t>
      </w:r>
      <w:r w:rsidR="00FC1FCB">
        <w:t>-</w:t>
      </w:r>
      <w:r w:rsidR="000A359B">
        <w:t>variance, maximum</w:t>
      </w:r>
      <w:r w:rsidR="00FC1FCB">
        <w:t>-</w:t>
      </w:r>
      <w:r w:rsidR="000A359B">
        <w:t>Sharpe, and risk parity. The coverage of each asset class by each method is intentional: the matrix allows users to separate two key issues: what the method changes and what the asset class changes. Each combination of asset class and method represents an i</w:t>
      </w:r>
      <w:r w:rsidR="002627B6">
        <w:t>nde</w:t>
      </w:r>
      <w:r w:rsidR="000A359B">
        <w:t xml:space="preserve">pendent, investable fund, as these are the </w:t>
      </w:r>
      <w:proofErr w:type="gramStart"/>
      <w:r w:rsidR="000A359B">
        <w:t>units</w:t>
      </w:r>
      <w:proofErr w:type="gramEnd"/>
      <w:r w:rsidR="000A359B">
        <w:t xml:space="preserve"> users </w:t>
      </w:r>
      <w:r w:rsidR="002627B6">
        <w:t>purchase</w:t>
      </w:r>
      <w:r w:rsidR="000A359B">
        <w:t xml:space="preserve"> and that are described on the fact sheet.</w:t>
      </w:r>
    </w:p>
    <w:p w14:paraId="56D735D7" w14:textId="306635EE" w:rsidR="00FB3AF7" w:rsidRDefault="00FB3AF7">
      <w:pPr>
        <w:rPr>
          <w:lang w:eastAsia="zh-CN"/>
        </w:rPr>
      </w:pPr>
      <w:r>
        <w:rPr>
          <w:lang w:eastAsia="zh-CN"/>
        </w:rPr>
        <w:t xml:space="preserve">The </w:t>
      </w:r>
      <w:r w:rsidR="00333D80">
        <w:rPr>
          <w:lang w:eastAsia="zh-CN"/>
        </w:rPr>
        <w:t>12 funds appl</w:t>
      </w:r>
      <w:r>
        <w:rPr>
          <w:lang w:eastAsia="zh-CN"/>
        </w:rPr>
        <w:t>y four construction</w:t>
      </w:r>
      <w:r w:rsidR="00333D80">
        <w:rPr>
          <w:lang w:eastAsia="zh-CN"/>
        </w:rPr>
        <w:t xml:space="preserve"> rules</w:t>
      </w:r>
      <w:r>
        <w:rPr>
          <w:lang w:eastAsia="zh-CN"/>
        </w:rPr>
        <w:t xml:space="preserve">, which are listed below, and the sentiment tilt is </w:t>
      </w:r>
      <w:r w:rsidR="00F31E73">
        <w:rPr>
          <w:lang w:eastAsia="zh-CN"/>
        </w:rPr>
        <w:t xml:space="preserve">a </w:t>
      </w:r>
      <w:r>
        <w:rPr>
          <w:lang w:eastAsia="zh-CN"/>
        </w:rPr>
        <w:t>separate thirteenth variant and is not part of the matrix.</w:t>
      </w:r>
    </w:p>
    <w:p w14:paraId="00430A68" w14:textId="4C80A349" w:rsidR="00E5692B" w:rsidRDefault="00F653C3" w:rsidP="00F653C3">
      <w:pPr>
        <w:pStyle w:val="ListParagraph"/>
        <w:numPr>
          <w:ilvl w:val="0"/>
          <w:numId w:val="11"/>
        </w:numPr>
        <w:rPr>
          <w:lang w:eastAsia="zh-CN"/>
        </w:rPr>
      </w:pPr>
      <w:r>
        <w:rPr>
          <w:lang w:eastAsia="zh-CN"/>
        </w:rPr>
        <w:t>Equal-Weight: Each asset holds the same weight, reset monthly. No predictions are made; this serves as a simple benchmark for evaluating other methods.</w:t>
      </w:r>
    </w:p>
    <w:p w14:paraId="23483E9E" w14:textId="3612DC0B" w:rsidR="00F653C3" w:rsidRDefault="00F653C3" w:rsidP="00F653C3">
      <w:pPr>
        <w:pStyle w:val="ListParagraph"/>
        <w:numPr>
          <w:ilvl w:val="0"/>
          <w:numId w:val="11"/>
        </w:numPr>
        <w:rPr>
          <w:lang w:eastAsia="zh-CN"/>
        </w:rPr>
      </w:pPr>
      <w:r>
        <w:rPr>
          <w:lang w:eastAsia="zh-CN"/>
        </w:rPr>
        <w:t>Minimum-Variance: Selecting the weight combination with the lowest total variance within the estimation window.</w:t>
      </w:r>
    </w:p>
    <w:p w14:paraId="199FF846" w14:textId="4C177EA7" w:rsidR="00F653C3" w:rsidRDefault="00F653C3" w:rsidP="00F653C3">
      <w:pPr>
        <w:pStyle w:val="ListParagraph"/>
        <w:numPr>
          <w:ilvl w:val="0"/>
          <w:numId w:val="11"/>
        </w:numPr>
        <w:rPr>
          <w:lang w:eastAsia="zh-CN"/>
        </w:rPr>
      </w:pPr>
      <w:r>
        <w:rPr>
          <w:lang w:eastAsia="zh-CN"/>
        </w:rPr>
        <w:t>Maximum-Sharpe: Selects the portfolio with the highest return per unit of volatility within the estimation window.</w:t>
      </w:r>
    </w:p>
    <w:p w14:paraId="2EE862EB" w14:textId="30EAE4F7" w:rsidR="00F653C3" w:rsidRDefault="00F653C3" w:rsidP="00F653C3">
      <w:pPr>
        <w:pStyle w:val="ListParagraph"/>
        <w:numPr>
          <w:ilvl w:val="0"/>
          <w:numId w:val="11"/>
        </w:numPr>
        <w:rPr>
          <w:lang w:eastAsia="zh-CN"/>
        </w:rPr>
      </w:pPr>
      <w:r>
        <w:rPr>
          <w:lang w:eastAsia="zh-CN"/>
        </w:rPr>
        <w:t>Risk Parity: Ensures that each asset contributes equally to the portfolio’s total risk; assets with lower volatility are given higher weights, while those with higher volatility are underweighted.</w:t>
      </w:r>
    </w:p>
    <w:p w14:paraId="45259005" w14:textId="0D431627" w:rsidR="00F653C3" w:rsidRDefault="00F653C3" w:rsidP="00F653C3">
      <w:pPr>
        <w:pStyle w:val="ListParagraph"/>
        <w:numPr>
          <w:ilvl w:val="0"/>
          <w:numId w:val="11"/>
        </w:numPr>
        <w:rPr>
          <w:lang w:eastAsia="zh-CN"/>
        </w:rPr>
      </w:pPr>
      <w:r>
        <w:rPr>
          <w:lang w:eastAsia="zh-CN"/>
        </w:rPr>
        <w:t xml:space="preserve">Equity + Sentiment Tilt: Uses the Equity Max-Sharpe weights as a baseline and adjusts based on the tone of industry news. This strategy was the subject of the fusion experiment in Section </w:t>
      </w:r>
      <w:r w:rsidR="00485FAC">
        <w:rPr>
          <w:lang w:eastAsia="zh-CN"/>
        </w:rPr>
        <w:t>4</w:t>
      </w:r>
      <w:r>
        <w:rPr>
          <w:lang w:eastAsia="zh-CN"/>
        </w:rPr>
        <w:t xml:space="preserve"> and was evaluated separately from the 12 main funds.</w:t>
      </w:r>
    </w:p>
    <w:p w14:paraId="403CDEED" w14:textId="0020B1BC" w:rsidR="00F653C3" w:rsidRDefault="00F653C3" w:rsidP="00F653C3">
      <w:pPr>
        <w:rPr>
          <w:lang w:eastAsia="zh-CN"/>
        </w:rPr>
      </w:pPr>
      <w:r>
        <w:rPr>
          <w:lang w:eastAsia="zh-CN"/>
        </w:rPr>
        <w:t xml:space="preserve">In the app page, reading the matrix vertically reveals changes in methodology and horizontally reveals changes in the asset pool. </w:t>
      </w:r>
      <w:r w:rsidR="00FC1FCB">
        <w:rPr>
          <w:lang w:eastAsia="zh-CN"/>
        </w:rPr>
        <w:t>The fund name represents the rule of construction rather than a randomly assigned label.</w:t>
      </w:r>
    </w:p>
    <w:p w14:paraId="409749F7" w14:textId="48616633" w:rsidR="00FC1FCB" w:rsidRDefault="00FC1FCB">
      <w:pPr>
        <w:rPr>
          <w:lang w:eastAsia="zh-CN"/>
        </w:rPr>
      </w:pPr>
      <w:bookmarkStart w:id="0" w:name="OLE_LINK1"/>
      <w:r>
        <w:t xml:space="preserve">Each fund in </w:t>
      </w:r>
      <w:proofErr w:type="spellStart"/>
      <w:r>
        <w:t>HyperInvest</w:t>
      </w:r>
      <w:proofErr w:type="spellEnd"/>
      <w:r>
        <w:t xml:space="preserve"> is evaluated using the same rolling out</w:t>
      </w:r>
      <w:r w:rsidR="00B5458D">
        <w:t>-of-</w:t>
      </w:r>
      <w:r>
        <w:t>sample walk</w:t>
      </w:r>
      <w:r w:rsidR="00B5458D">
        <w:t>-</w:t>
      </w:r>
      <w:r w:rsidR="00B5458D">
        <w:rPr>
          <w:lang w:eastAsia="zh-CN"/>
        </w:rPr>
        <w:t xml:space="preserve">forward </w:t>
      </w:r>
      <w:proofErr w:type="spellStart"/>
      <w:r w:rsidR="00B5458D">
        <w:rPr>
          <w:lang w:eastAsia="zh-CN"/>
        </w:rPr>
        <w:t>backtest</w:t>
      </w:r>
      <w:proofErr w:type="spellEnd"/>
      <w:r w:rsidR="00B5458D">
        <w:rPr>
          <w:lang w:eastAsia="zh-CN"/>
        </w:rPr>
        <w:t>. Weights are rebalanced on the last trading day of each month, usi</w:t>
      </w:r>
      <w:r w:rsidR="0065447F">
        <w:rPr>
          <w:lang w:eastAsia="zh-CN"/>
        </w:rPr>
        <w:t>n</w:t>
      </w:r>
      <w:r w:rsidR="00B5458D">
        <w:rPr>
          <w:lang w:eastAsia="zh-CN"/>
        </w:rPr>
        <w:t>g only returns from the past 252 trading days</w:t>
      </w:r>
      <w:r w:rsidR="0065447F">
        <w:rPr>
          <w:lang w:eastAsia="zh-CN"/>
        </w:rPr>
        <w:t>.</w:t>
      </w:r>
      <w:r w:rsidR="00B5458D">
        <w:rPr>
          <w:lang w:eastAsia="zh-CN"/>
        </w:rPr>
        <w:t xml:space="preserve"> The estimated slices exclude returns from the rebalancing date itself, ensuring that information from that day and beyond does not influence the weights. Between rebalancing </w:t>
      </w:r>
      <w:r w:rsidR="0065447F">
        <w:rPr>
          <w:lang w:eastAsia="zh-CN"/>
        </w:rPr>
        <w:t>events, holding</w:t>
      </w:r>
      <w:r w:rsidR="005812E3">
        <w:rPr>
          <w:lang w:eastAsia="zh-CN"/>
        </w:rPr>
        <w:t>s</w:t>
      </w:r>
      <w:r w:rsidR="0065447F">
        <w:rPr>
          <w:lang w:eastAsia="zh-CN"/>
        </w:rPr>
        <w:t xml:space="preserve"> drift with market prices, just as they would in a rea</w:t>
      </w:r>
      <w:r w:rsidR="005812E3">
        <w:rPr>
          <w:lang w:eastAsia="zh-CN"/>
        </w:rPr>
        <w:t>l</w:t>
      </w:r>
      <w:r w:rsidR="0065447F">
        <w:rPr>
          <w:lang w:eastAsia="zh-CN"/>
        </w:rPr>
        <w:t xml:space="preserve"> fund</w:t>
      </w:r>
      <w:r w:rsidR="005812E3">
        <w:rPr>
          <w:lang w:eastAsia="zh-CN"/>
        </w:rPr>
        <w:t>;</w:t>
      </w:r>
      <w:r w:rsidR="0065447F">
        <w:rPr>
          <w:lang w:eastAsia="zh-CN"/>
        </w:rPr>
        <w:t xml:space="preserve"> the out-</w:t>
      </w:r>
      <w:r w:rsidR="0065447F">
        <w:rPr>
          <w:lang w:eastAsia="zh-CN"/>
        </w:rPr>
        <w:lastRenderedPageBreak/>
        <w:t xml:space="preserve">of-sample period begins only after the first complete estimation window ends: for the </w:t>
      </w:r>
      <w:r w:rsidR="005812E3">
        <w:rPr>
          <w:lang w:eastAsia="zh-CN"/>
        </w:rPr>
        <w:t xml:space="preserve">fund on the equity calendar, </w:t>
      </w:r>
      <w:r w:rsidR="0065447F">
        <w:rPr>
          <w:lang w:eastAsia="zh-CN"/>
        </w:rPr>
        <w:t xml:space="preserve">this spans from </w:t>
      </w:r>
      <w:r w:rsidR="005812E3">
        <w:rPr>
          <w:lang w:eastAsia="zh-CN"/>
        </w:rPr>
        <w:t xml:space="preserve">1 </w:t>
      </w:r>
      <w:r w:rsidR="0086557F">
        <w:rPr>
          <w:lang w:eastAsia="zh-CN"/>
        </w:rPr>
        <w:t>February</w:t>
      </w:r>
      <w:r w:rsidR="0065447F">
        <w:rPr>
          <w:lang w:eastAsia="zh-CN"/>
        </w:rPr>
        <w:t xml:space="preserve"> 2021 to </w:t>
      </w:r>
      <w:r w:rsidR="005812E3">
        <w:rPr>
          <w:lang w:eastAsia="zh-CN"/>
        </w:rPr>
        <w:t xml:space="preserve">29 </w:t>
      </w:r>
      <w:r w:rsidR="0086557F">
        <w:rPr>
          <w:lang w:eastAsia="zh-CN"/>
        </w:rPr>
        <w:t>December</w:t>
      </w:r>
      <w:r w:rsidR="0065447F">
        <w:rPr>
          <w:lang w:eastAsia="zh-CN"/>
        </w:rPr>
        <w:t xml:space="preserve"> 2023, totaling 734 trading days.</w:t>
      </w:r>
    </w:p>
    <w:p w14:paraId="35E2E074" w14:textId="67DC0C25" w:rsidR="00840B21" w:rsidRDefault="00F60069">
      <w:pPr>
        <w:rPr>
          <w:lang w:eastAsia="zh-CN"/>
        </w:rPr>
      </w:pPr>
      <w:bookmarkStart w:id="1" w:name="OLE_LINK2"/>
      <w:r>
        <w:rPr>
          <w:lang w:eastAsia="zh-CN"/>
        </w:rPr>
        <w:t xml:space="preserve">Calendar handling is a common </w:t>
      </w:r>
      <w:r>
        <w:rPr>
          <w:rFonts w:hint="eastAsia"/>
          <w:lang w:eastAsia="zh-CN"/>
        </w:rPr>
        <w:t>trap</w:t>
      </w:r>
      <w:r>
        <w:rPr>
          <w:lang w:eastAsia="zh-CN"/>
        </w:rPr>
        <w:t xml:space="preserve"> in hybrid stock-crypto products. There are approximately 252 trading days per year for stocks and about 365 days for cryptocurrencies. In </w:t>
      </w:r>
      <w:proofErr w:type="spellStart"/>
      <w:r>
        <w:rPr>
          <w:lang w:eastAsia="zh-CN"/>
        </w:rPr>
        <w:t>HyperInvest</w:t>
      </w:r>
      <w:proofErr w:type="spellEnd"/>
      <w:r>
        <w:rPr>
          <w:lang w:eastAsia="zh-CN"/>
        </w:rPr>
        <w:t xml:space="preserve">, returns are first calculated based on their respective calendars, then the cryptocurrency return is left-merged </w:t>
      </w:r>
      <w:r w:rsidR="00304827">
        <w:rPr>
          <w:lang w:eastAsia="zh-CN"/>
        </w:rPr>
        <w:t xml:space="preserve">onto equity trading date. </w:t>
      </w:r>
      <w:r>
        <w:rPr>
          <w:lang w:eastAsia="zh-CN"/>
        </w:rPr>
        <w:t>The weekend cryptocurrency price movements were excluded because funds that rebalance on stock trading days cannot act on weekends anyway. Annualized figures are also calculated separately: funds that include stocks use 252 days, while pure crypto funds use 365 days.</w:t>
      </w:r>
      <w:r w:rsidR="0086557F">
        <w:rPr>
          <w:rFonts w:hint="eastAsia"/>
          <w:lang w:eastAsia="zh-CN"/>
        </w:rPr>
        <w:t xml:space="preserve"> </w:t>
      </w:r>
      <w:r w:rsidR="0086557F">
        <w:rPr>
          <w:lang w:eastAsia="zh-CN"/>
        </w:rPr>
        <w:t>The pure cryptocurrency funds follow their own daily calendar, so their out-of-sample period begins earlier, starting on 1 October 2020 for a total of 1,187 valuation dates.</w:t>
      </w:r>
      <w:r>
        <w:rPr>
          <w:rFonts w:hint="eastAsia"/>
          <w:lang w:eastAsia="zh-CN"/>
        </w:rPr>
        <w:t xml:space="preserve"> </w:t>
      </w:r>
      <w:r>
        <w:rPr>
          <w:lang w:eastAsia="zh-CN"/>
        </w:rPr>
        <w:t>If the crypto fund</w:t>
      </w:r>
      <w:r w:rsidR="00304827">
        <w:rPr>
          <w:lang w:eastAsia="zh-CN"/>
        </w:rPr>
        <w:t>s</w:t>
      </w:r>
      <w:r>
        <w:rPr>
          <w:lang w:eastAsia="zh-CN"/>
        </w:rPr>
        <w:t xml:space="preserve"> were also </w:t>
      </w:r>
      <w:r w:rsidR="00304827">
        <w:rPr>
          <w:lang w:eastAsia="zh-CN"/>
        </w:rPr>
        <w:t xml:space="preserve">annualized with </w:t>
      </w:r>
      <w:r>
        <w:rPr>
          <w:lang w:eastAsia="zh-CN"/>
        </w:rPr>
        <w:t>252 days, the annualized volatility would be off by about 20%, so the two calendar systems are never mixed.</w:t>
      </w:r>
    </w:p>
    <w:p w14:paraId="236F0606" w14:textId="551A44BB" w:rsidR="0086557F" w:rsidRDefault="00F273DB">
      <w:pPr>
        <w:rPr>
          <w:lang w:eastAsia="zh-CN"/>
        </w:rPr>
      </w:pPr>
      <w:bookmarkStart w:id="2" w:name="OLE_LINK3"/>
      <w:r>
        <w:rPr>
          <w:lang w:eastAsia="zh-CN"/>
        </w:rPr>
        <w:t xml:space="preserve">There are three designs for </w:t>
      </w:r>
      <w:proofErr w:type="spellStart"/>
      <w:r>
        <w:rPr>
          <w:lang w:eastAsia="zh-CN"/>
        </w:rPr>
        <w:t>HyperInvest</w:t>
      </w:r>
      <w:proofErr w:type="spellEnd"/>
      <w:r>
        <w:rPr>
          <w:lang w:eastAsia="zh-CN"/>
        </w:rPr>
        <w:t>. First, all funds are long</w:t>
      </w:r>
      <w:r w:rsidR="004F4FD0">
        <w:rPr>
          <w:rFonts w:hint="eastAsia"/>
          <w:lang w:eastAsia="zh-CN"/>
        </w:rPr>
        <w:t>-</w:t>
      </w:r>
      <w:r>
        <w:rPr>
          <w:lang w:eastAsia="zh-CN"/>
        </w:rPr>
        <w:t xml:space="preserve">only, with </w:t>
      </w:r>
      <w:r w:rsidR="004F4FD0">
        <w:rPr>
          <w:lang w:eastAsia="zh-CN"/>
        </w:rPr>
        <w:t xml:space="preserve">weights summing to </w:t>
      </w:r>
      <w:r>
        <w:rPr>
          <w:rFonts w:hint="eastAsia"/>
          <w:lang w:eastAsia="zh-CN"/>
        </w:rPr>
        <w:t>1</w:t>
      </w:r>
      <w:r>
        <w:rPr>
          <w:lang w:eastAsia="zh-CN"/>
        </w:rPr>
        <w:t xml:space="preserve">. Since this product is aimed at beginners, short selling is difficult to explain and unnecessary. Second, the Sharpe ratio uses a zero risk-free rate, and the </w:t>
      </w:r>
      <w:proofErr w:type="spellStart"/>
      <w:r>
        <w:rPr>
          <w:lang w:eastAsia="zh-CN"/>
        </w:rPr>
        <w:t>backtest</w:t>
      </w:r>
      <w:proofErr w:type="spellEnd"/>
      <w:r>
        <w:rPr>
          <w:lang w:eastAsia="zh-CN"/>
        </w:rPr>
        <w:t xml:space="preserve"> assumes zero transaction costs; these two simplifications will be discussed in a later </w:t>
      </w:r>
      <w:r w:rsidR="00EE23A5">
        <w:rPr>
          <w:lang w:eastAsia="zh-CN"/>
        </w:rPr>
        <w:t>s</w:t>
      </w:r>
      <w:r>
        <w:rPr>
          <w:lang w:eastAsia="zh-CN"/>
        </w:rPr>
        <w:t>ection. Third, the</w:t>
      </w:r>
      <w:r w:rsidR="004F4FD0">
        <w:rPr>
          <w:lang w:eastAsia="zh-CN"/>
        </w:rPr>
        <w:t xml:space="preserve"> </w:t>
      </w:r>
      <w:r w:rsidR="00EE23A5">
        <w:rPr>
          <w:lang w:eastAsia="zh-CN"/>
        </w:rPr>
        <w:t>m</w:t>
      </w:r>
      <w:r w:rsidR="004F4FD0">
        <w:rPr>
          <w:lang w:eastAsia="zh-CN"/>
        </w:rPr>
        <w:t>aximum-</w:t>
      </w:r>
      <w:r>
        <w:rPr>
          <w:lang w:eastAsia="zh-CN"/>
        </w:rPr>
        <w:t xml:space="preserve">Sharpe portfolio </w:t>
      </w:r>
      <w:r w:rsidR="00EE23A5">
        <w:rPr>
          <w:lang w:eastAsia="zh-CN"/>
        </w:rPr>
        <w:t>is</w:t>
      </w:r>
      <w:r>
        <w:rPr>
          <w:lang w:eastAsia="zh-CN"/>
        </w:rPr>
        <w:t xml:space="preserve"> not </w:t>
      </w:r>
      <w:r w:rsidR="00EE23A5">
        <w:rPr>
          <w:lang w:eastAsia="zh-CN"/>
        </w:rPr>
        <w:t xml:space="preserve">computed by </w:t>
      </w:r>
      <w:r>
        <w:rPr>
          <w:lang w:eastAsia="zh-CN"/>
        </w:rPr>
        <w:t>optimiz</w:t>
      </w:r>
      <w:r w:rsidR="00EE23A5">
        <w:rPr>
          <w:lang w:eastAsia="zh-CN"/>
        </w:rPr>
        <w:t>ing</w:t>
      </w:r>
      <w:r>
        <w:rPr>
          <w:lang w:eastAsia="zh-CN"/>
        </w:rPr>
        <w:t xml:space="preserve"> </w:t>
      </w:r>
      <w:r w:rsidR="00EE23A5">
        <w:rPr>
          <w:lang w:eastAsia="zh-CN"/>
        </w:rPr>
        <w:t>the ratio directly</w:t>
      </w:r>
      <w:r>
        <w:rPr>
          <w:lang w:eastAsia="zh-CN"/>
        </w:rPr>
        <w:t xml:space="preserve">; instead, it was calculated using an equivalent convex optimization form, with covariance estimates subject to shrinkage. The method was changed because direct optimization had silently stalled </w:t>
      </w:r>
      <w:r w:rsidR="00EE23A5">
        <w:rPr>
          <w:lang w:eastAsia="zh-CN"/>
        </w:rPr>
        <w:t xml:space="preserve">on every equity estimation window </w:t>
      </w:r>
      <w:r>
        <w:rPr>
          <w:lang w:eastAsia="zh-CN"/>
        </w:rPr>
        <w:t xml:space="preserve">without reporting an error. The issue was discovered during a cross-method weight comparison: two funds that should have been different produced identical weights; this check now runs with every build. The framework </w:t>
      </w:r>
      <w:r w:rsidR="004F4FD0">
        <w:rPr>
          <w:lang w:eastAsia="zh-CN"/>
        </w:rPr>
        <w:t>follows standard practice</w:t>
      </w:r>
      <w:r w:rsidR="00EE23A5">
        <w:rPr>
          <w:lang w:eastAsia="zh-CN"/>
        </w:rPr>
        <w:t>. T</w:t>
      </w:r>
      <w:r w:rsidR="004F4FD0">
        <w:rPr>
          <w:lang w:eastAsia="zh-CN"/>
        </w:rPr>
        <w:t>he switch to a convex optimization form and the covariance shrinkage are two added modifications to ensure numerical stability.</w:t>
      </w:r>
    </w:p>
    <w:p w14:paraId="3D9C7FC1" w14:textId="6D86824B" w:rsidR="00F73DA3" w:rsidRDefault="00FD55A7">
      <w:pPr>
        <w:rPr>
          <w:lang w:eastAsia="zh-CN"/>
        </w:rPr>
      </w:pPr>
      <w:bookmarkStart w:id="3" w:name="OLE_LINK4"/>
      <w:r>
        <w:rPr>
          <w:lang w:eastAsia="zh-CN"/>
        </w:rPr>
        <w:t xml:space="preserve">The </w:t>
      </w:r>
      <w:proofErr w:type="spellStart"/>
      <w:r>
        <w:rPr>
          <w:lang w:eastAsia="zh-CN"/>
        </w:rPr>
        <w:t>backtest</w:t>
      </w:r>
      <w:proofErr w:type="spellEnd"/>
      <w:r>
        <w:rPr>
          <w:lang w:eastAsia="zh-CN"/>
        </w:rPr>
        <w:t xml:space="preserve"> is based on a dataset covering 2020 through 2023, comprising 50,300 rows of stock data and 14,620 rows of cryptocurrency data. The completeness audit found no missing trading days or duplicate prices. Approximately 2,850 rows of completely duplicate news headlines were removed before counting. All extreme returns were retained and recorded. For example, on 9 March 2020, an energy stock fell 52% in a single day; removing actual market crashes would make all risk metrics look better, but that would be misleading. The early data preparation stage also mapped each news headline to its corresponding trading</w:t>
      </w:r>
      <w:r>
        <w:rPr>
          <w:rFonts w:hint="eastAsia"/>
          <w:lang w:eastAsia="zh-CN"/>
        </w:rPr>
        <w:t xml:space="preserve"> </w:t>
      </w:r>
      <w:r>
        <w:rPr>
          <w:lang w:eastAsia="zh-CN"/>
        </w:rPr>
        <w:t>date and retained the original wording, which serves as the input for the sentiment model in Section 3.</w:t>
      </w:r>
      <w:bookmarkEnd w:id="0"/>
      <w:bookmarkEnd w:id="1"/>
      <w:bookmarkEnd w:id="2"/>
      <w:bookmarkEnd w:id="3"/>
    </w:p>
    <w:p w14:paraId="5C415A99" w14:textId="77777777" w:rsidR="00F73DA3" w:rsidRDefault="00F73DA3">
      <w:pPr>
        <w:rPr>
          <w:lang w:eastAsia="zh-CN"/>
        </w:rPr>
      </w:pPr>
      <w:r>
        <w:rPr>
          <w:lang w:eastAsia="zh-CN"/>
        </w:rPr>
        <w:br w:type="page"/>
      </w:r>
    </w:p>
    <w:p w14:paraId="0A257EB6" w14:textId="4EDE34CD" w:rsidR="00094FB7" w:rsidRPr="00B87C6F" w:rsidRDefault="00000000">
      <w:pPr>
        <w:pStyle w:val="Heading1"/>
      </w:pPr>
      <w:r w:rsidRPr="00B87C6F">
        <w:lastRenderedPageBreak/>
        <w:t>2. Out-of-sample results and fund fact sheets</w:t>
      </w:r>
    </w:p>
    <w:tbl>
      <w:tblPr>
        <w:tblStyle w:val="TableGrid"/>
        <w:tblpPr w:leftFromText="180" w:rightFromText="180" w:vertAnchor="text" w:horzAnchor="margin" w:tblpY="313"/>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127"/>
        <w:gridCol w:w="1329"/>
        <w:gridCol w:w="1728"/>
        <w:gridCol w:w="1728"/>
        <w:gridCol w:w="1728"/>
      </w:tblGrid>
      <w:tr w:rsidR="00F73DA3" w:rsidRPr="00B87C6F" w14:paraId="599E8D0D" w14:textId="77777777" w:rsidTr="00F73DA3">
        <w:tc>
          <w:tcPr>
            <w:tcW w:w="2127" w:type="dxa"/>
            <w:shd w:val="clear" w:color="auto" w:fill="0F766E"/>
          </w:tcPr>
          <w:p w14:paraId="05FADEB6" w14:textId="77777777" w:rsidR="00F73DA3" w:rsidRPr="00B87C6F" w:rsidRDefault="00F73DA3" w:rsidP="00F73DA3">
            <w:pPr>
              <w:jc w:val="center"/>
            </w:pPr>
            <w:r w:rsidRPr="00B87C6F">
              <w:rPr>
                <w:b/>
                <w:color w:val="FFFFFF"/>
                <w:sz w:val="19"/>
              </w:rPr>
              <w:t>Fund</w:t>
            </w:r>
          </w:p>
        </w:tc>
        <w:tc>
          <w:tcPr>
            <w:tcW w:w="1329" w:type="dxa"/>
            <w:shd w:val="clear" w:color="auto" w:fill="0F766E"/>
          </w:tcPr>
          <w:p w14:paraId="043E988E" w14:textId="77777777" w:rsidR="00F73DA3" w:rsidRPr="00B87C6F" w:rsidRDefault="00F73DA3" w:rsidP="00F73DA3">
            <w:pPr>
              <w:jc w:val="center"/>
            </w:pPr>
            <w:r w:rsidRPr="00B87C6F">
              <w:rPr>
                <w:b/>
                <w:color w:val="FFFFFF"/>
                <w:sz w:val="19"/>
              </w:rPr>
              <w:t>Ann. return</w:t>
            </w:r>
          </w:p>
        </w:tc>
        <w:tc>
          <w:tcPr>
            <w:tcW w:w="1728" w:type="dxa"/>
            <w:shd w:val="clear" w:color="auto" w:fill="0F766E"/>
          </w:tcPr>
          <w:p w14:paraId="706F280B" w14:textId="77777777" w:rsidR="00F73DA3" w:rsidRPr="00B87C6F" w:rsidRDefault="00F73DA3" w:rsidP="00F73DA3">
            <w:pPr>
              <w:jc w:val="center"/>
            </w:pPr>
            <w:r w:rsidRPr="00B87C6F">
              <w:rPr>
                <w:b/>
                <w:color w:val="FFFFFF"/>
                <w:sz w:val="19"/>
              </w:rPr>
              <w:t>Ann. volatility</w:t>
            </w:r>
          </w:p>
        </w:tc>
        <w:tc>
          <w:tcPr>
            <w:tcW w:w="1728" w:type="dxa"/>
            <w:shd w:val="clear" w:color="auto" w:fill="0F766E"/>
          </w:tcPr>
          <w:p w14:paraId="7360317E" w14:textId="77777777" w:rsidR="00F73DA3" w:rsidRPr="00B87C6F" w:rsidRDefault="00F73DA3" w:rsidP="00F73DA3">
            <w:pPr>
              <w:jc w:val="center"/>
            </w:pPr>
            <w:r w:rsidRPr="00B87C6F">
              <w:rPr>
                <w:b/>
                <w:color w:val="FFFFFF"/>
                <w:sz w:val="19"/>
              </w:rPr>
              <w:t>Sharpe</w:t>
            </w:r>
          </w:p>
        </w:tc>
        <w:tc>
          <w:tcPr>
            <w:tcW w:w="1728" w:type="dxa"/>
            <w:shd w:val="clear" w:color="auto" w:fill="0F766E"/>
          </w:tcPr>
          <w:p w14:paraId="4C57A695" w14:textId="77777777" w:rsidR="00F73DA3" w:rsidRPr="00B87C6F" w:rsidRDefault="00F73DA3" w:rsidP="00F73DA3">
            <w:pPr>
              <w:jc w:val="center"/>
            </w:pPr>
            <w:r w:rsidRPr="00B87C6F">
              <w:rPr>
                <w:b/>
                <w:color w:val="FFFFFF"/>
                <w:sz w:val="19"/>
              </w:rPr>
              <w:t>Max drawdown</w:t>
            </w:r>
          </w:p>
        </w:tc>
      </w:tr>
      <w:tr w:rsidR="00F73DA3" w:rsidRPr="00B87C6F" w14:paraId="5759C6AE" w14:textId="77777777" w:rsidTr="00F73DA3">
        <w:tc>
          <w:tcPr>
            <w:tcW w:w="2127" w:type="dxa"/>
          </w:tcPr>
          <w:p w14:paraId="32960D48" w14:textId="77777777" w:rsidR="00F73DA3" w:rsidRPr="00B87C6F" w:rsidRDefault="00F73DA3" w:rsidP="00F73DA3">
            <w:r w:rsidRPr="00B87C6F">
              <w:rPr>
                <w:sz w:val="19"/>
              </w:rPr>
              <w:t>Combined Equal-Weight</w:t>
            </w:r>
          </w:p>
        </w:tc>
        <w:tc>
          <w:tcPr>
            <w:tcW w:w="1329" w:type="dxa"/>
          </w:tcPr>
          <w:p w14:paraId="418849AA" w14:textId="77777777" w:rsidR="00F73DA3" w:rsidRPr="00B87C6F" w:rsidRDefault="00F73DA3" w:rsidP="00F73DA3">
            <w:pPr>
              <w:jc w:val="right"/>
            </w:pPr>
            <w:r w:rsidRPr="00B87C6F">
              <w:rPr>
                <w:sz w:val="19"/>
              </w:rPr>
              <w:t>14.8%</w:t>
            </w:r>
          </w:p>
        </w:tc>
        <w:tc>
          <w:tcPr>
            <w:tcW w:w="1728" w:type="dxa"/>
          </w:tcPr>
          <w:p w14:paraId="247ED5AD" w14:textId="77777777" w:rsidR="00F73DA3" w:rsidRPr="00B87C6F" w:rsidRDefault="00F73DA3" w:rsidP="00F73DA3">
            <w:pPr>
              <w:jc w:val="right"/>
            </w:pPr>
            <w:r w:rsidRPr="00B87C6F">
              <w:rPr>
                <w:sz w:val="19"/>
              </w:rPr>
              <w:t>21.1%</w:t>
            </w:r>
          </w:p>
        </w:tc>
        <w:tc>
          <w:tcPr>
            <w:tcW w:w="1728" w:type="dxa"/>
          </w:tcPr>
          <w:p w14:paraId="30D81C4D" w14:textId="77777777" w:rsidR="00F73DA3" w:rsidRPr="00B87C6F" w:rsidRDefault="00F73DA3" w:rsidP="00F73DA3">
            <w:pPr>
              <w:jc w:val="right"/>
            </w:pPr>
            <w:r w:rsidRPr="00B87C6F">
              <w:rPr>
                <w:sz w:val="19"/>
              </w:rPr>
              <w:t>0.76</w:t>
            </w:r>
          </w:p>
        </w:tc>
        <w:tc>
          <w:tcPr>
            <w:tcW w:w="1728" w:type="dxa"/>
          </w:tcPr>
          <w:p w14:paraId="6DC27044" w14:textId="77777777" w:rsidR="00F73DA3" w:rsidRPr="00B87C6F" w:rsidRDefault="00F73DA3" w:rsidP="00F73DA3">
            <w:pPr>
              <w:jc w:val="right"/>
            </w:pPr>
            <w:r w:rsidRPr="00B87C6F">
              <w:rPr>
                <w:sz w:val="19"/>
              </w:rPr>
              <w:t>-28.7%</w:t>
            </w:r>
          </w:p>
        </w:tc>
      </w:tr>
      <w:tr w:rsidR="00F73DA3" w:rsidRPr="00B87C6F" w14:paraId="74E60BBF" w14:textId="77777777" w:rsidTr="00F73DA3">
        <w:tc>
          <w:tcPr>
            <w:tcW w:w="2127" w:type="dxa"/>
            <w:shd w:val="clear" w:color="auto" w:fill="F2F0EC"/>
          </w:tcPr>
          <w:p w14:paraId="2A27E34B" w14:textId="77777777" w:rsidR="00F73DA3" w:rsidRPr="00B87C6F" w:rsidRDefault="00F73DA3" w:rsidP="00F73DA3">
            <w:r w:rsidRPr="00B87C6F">
              <w:rPr>
                <w:sz w:val="19"/>
              </w:rPr>
              <w:t>Combined Min-Variance</w:t>
            </w:r>
          </w:p>
        </w:tc>
        <w:tc>
          <w:tcPr>
            <w:tcW w:w="1329" w:type="dxa"/>
            <w:shd w:val="clear" w:color="auto" w:fill="F2F0EC"/>
          </w:tcPr>
          <w:p w14:paraId="5747852B" w14:textId="77777777" w:rsidR="00F73DA3" w:rsidRPr="00B87C6F" w:rsidRDefault="00F73DA3" w:rsidP="00F73DA3">
            <w:pPr>
              <w:jc w:val="right"/>
            </w:pPr>
            <w:r w:rsidRPr="00B87C6F">
              <w:rPr>
                <w:sz w:val="19"/>
              </w:rPr>
              <w:t>6.7%</w:t>
            </w:r>
          </w:p>
        </w:tc>
        <w:tc>
          <w:tcPr>
            <w:tcW w:w="1728" w:type="dxa"/>
            <w:shd w:val="clear" w:color="auto" w:fill="F2F0EC"/>
          </w:tcPr>
          <w:p w14:paraId="6DCCA30D" w14:textId="77777777" w:rsidR="00F73DA3" w:rsidRPr="00B87C6F" w:rsidRDefault="00F73DA3" w:rsidP="00F73DA3">
            <w:pPr>
              <w:jc w:val="right"/>
            </w:pPr>
            <w:r w:rsidRPr="00B87C6F">
              <w:rPr>
                <w:sz w:val="19"/>
              </w:rPr>
              <w:t>12.7%</w:t>
            </w:r>
          </w:p>
        </w:tc>
        <w:tc>
          <w:tcPr>
            <w:tcW w:w="1728" w:type="dxa"/>
            <w:shd w:val="clear" w:color="auto" w:fill="F2F0EC"/>
          </w:tcPr>
          <w:p w14:paraId="5E982128" w14:textId="77777777" w:rsidR="00F73DA3" w:rsidRPr="00B87C6F" w:rsidRDefault="00F73DA3" w:rsidP="00F73DA3">
            <w:pPr>
              <w:jc w:val="right"/>
            </w:pPr>
            <w:r w:rsidRPr="00B87C6F">
              <w:rPr>
                <w:sz w:val="19"/>
              </w:rPr>
              <w:t>0.57</w:t>
            </w:r>
          </w:p>
        </w:tc>
        <w:tc>
          <w:tcPr>
            <w:tcW w:w="1728" w:type="dxa"/>
            <w:shd w:val="clear" w:color="auto" w:fill="F2F0EC"/>
          </w:tcPr>
          <w:p w14:paraId="0D3CE9E7" w14:textId="77777777" w:rsidR="00F73DA3" w:rsidRPr="00B87C6F" w:rsidRDefault="00F73DA3" w:rsidP="00F73DA3">
            <w:pPr>
              <w:jc w:val="right"/>
            </w:pPr>
            <w:r w:rsidRPr="00B87C6F">
              <w:rPr>
                <w:sz w:val="19"/>
              </w:rPr>
              <w:t>-15.6%</w:t>
            </w:r>
          </w:p>
        </w:tc>
      </w:tr>
      <w:tr w:rsidR="00F73DA3" w:rsidRPr="00B87C6F" w14:paraId="79ADEB7F" w14:textId="77777777" w:rsidTr="00F73DA3">
        <w:tc>
          <w:tcPr>
            <w:tcW w:w="2127" w:type="dxa"/>
          </w:tcPr>
          <w:p w14:paraId="385D8D82" w14:textId="77777777" w:rsidR="00F73DA3" w:rsidRPr="00B87C6F" w:rsidRDefault="00F73DA3" w:rsidP="00F73DA3">
            <w:r w:rsidRPr="00B87C6F">
              <w:rPr>
                <w:sz w:val="19"/>
              </w:rPr>
              <w:t>Combined Max-Sharpe</w:t>
            </w:r>
          </w:p>
        </w:tc>
        <w:tc>
          <w:tcPr>
            <w:tcW w:w="1329" w:type="dxa"/>
          </w:tcPr>
          <w:p w14:paraId="780A7616" w14:textId="77777777" w:rsidR="00F73DA3" w:rsidRPr="00B87C6F" w:rsidRDefault="00F73DA3" w:rsidP="00F73DA3">
            <w:pPr>
              <w:jc w:val="right"/>
            </w:pPr>
            <w:r w:rsidRPr="00B87C6F">
              <w:rPr>
                <w:sz w:val="19"/>
              </w:rPr>
              <w:t>17.2%</w:t>
            </w:r>
          </w:p>
        </w:tc>
        <w:tc>
          <w:tcPr>
            <w:tcW w:w="1728" w:type="dxa"/>
          </w:tcPr>
          <w:p w14:paraId="44611D3B" w14:textId="77777777" w:rsidR="00F73DA3" w:rsidRPr="00B87C6F" w:rsidRDefault="00F73DA3" w:rsidP="00F73DA3">
            <w:pPr>
              <w:jc w:val="right"/>
            </w:pPr>
            <w:r w:rsidRPr="00B87C6F">
              <w:rPr>
                <w:sz w:val="19"/>
              </w:rPr>
              <w:t>22.2%</w:t>
            </w:r>
          </w:p>
        </w:tc>
        <w:tc>
          <w:tcPr>
            <w:tcW w:w="1728" w:type="dxa"/>
          </w:tcPr>
          <w:p w14:paraId="5CAB4835" w14:textId="77777777" w:rsidR="00F73DA3" w:rsidRPr="00B87C6F" w:rsidRDefault="00F73DA3" w:rsidP="00F73DA3">
            <w:pPr>
              <w:jc w:val="right"/>
            </w:pPr>
            <w:r w:rsidRPr="00B87C6F">
              <w:rPr>
                <w:sz w:val="19"/>
              </w:rPr>
              <w:t>0.83</w:t>
            </w:r>
          </w:p>
        </w:tc>
        <w:tc>
          <w:tcPr>
            <w:tcW w:w="1728" w:type="dxa"/>
          </w:tcPr>
          <w:p w14:paraId="31FE090C" w14:textId="77777777" w:rsidR="00F73DA3" w:rsidRPr="00B87C6F" w:rsidRDefault="00F73DA3" w:rsidP="00F73DA3">
            <w:pPr>
              <w:jc w:val="right"/>
            </w:pPr>
            <w:r w:rsidRPr="00B87C6F">
              <w:rPr>
                <w:sz w:val="19"/>
              </w:rPr>
              <w:t>-27.3%</w:t>
            </w:r>
          </w:p>
        </w:tc>
      </w:tr>
      <w:tr w:rsidR="00F73DA3" w:rsidRPr="00B87C6F" w14:paraId="1EBA70D9" w14:textId="77777777" w:rsidTr="00F73DA3">
        <w:tc>
          <w:tcPr>
            <w:tcW w:w="2127" w:type="dxa"/>
            <w:shd w:val="clear" w:color="auto" w:fill="F2F0EC"/>
          </w:tcPr>
          <w:p w14:paraId="203054AF" w14:textId="77777777" w:rsidR="00F73DA3" w:rsidRPr="00B87C6F" w:rsidRDefault="00F73DA3" w:rsidP="00F73DA3">
            <w:r w:rsidRPr="00B87C6F">
              <w:rPr>
                <w:sz w:val="19"/>
              </w:rPr>
              <w:t>Combined Risk-Parity</w:t>
            </w:r>
          </w:p>
        </w:tc>
        <w:tc>
          <w:tcPr>
            <w:tcW w:w="1329" w:type="dxa"/>
            <w:shd w:val="clear" w:color="auto" w:fill="F2F0EC"/>
          </w:tcPr>
          <w:p w14:paraId="792D867A" w14:textId="77777777" w:rsidR="00F73DA3" w:rsidRPr="00B87C6F" w:rsidRDefault="00F73DA3" w:rsidP="00F73DA3">
            <w:pPr>
              <w:jc w:val="right"/>
            </w:pPr>
            <w:r w:rsidRPr="00B87C6F">
              <w:rPr>
                <w:sz w:val="19"/>
              </w:rPr>
              <w:t>14.1%</w:t>
            </w:r>
          </w:p>
        </w:tc>
        <w:tc>
          <w:tcPr>
            <w:tcW w:w="1728" w:type="dxa"/>
            <w:shd w:val="clear" w:color="auto" w:fill="F2F0EC"/>
          </w:tcPr>
          <w:p w14:paraId="628CEC68" w14:textId="77777777" w:rsidR="00F73DA3" w:rsidRPr="00B87C6F" w:rsidRDefault="00F73DA3" w:rsidP="00F73DA3">
            <w:pPr>
              <w:jc w:val="right"/>
            </w:pPr>
            <w:r w:rsidRPr="00B87C6F">
              <w:rPr>
                <w:sz w:val="19"/>
              </w:rPr>
              <w:t>15.9%</w:t>
            </w:r>
          </w:p>
        </w:tc>
        <w:tc>
          <w:tcPr>
            <w:tcW w:w="1728" w:type="dxa"/>
            <w:shd w:val="clear" w:color="auto" w:fill="F2F0EC"/>
          </w:tcPr>
          <w:p w14:paraId="535635CF" w14:textId="77777777" w:rsidR="00F73DA3" w:rsidRPr="00B87C6F" w:rsidRDefault="00F73DA3" w:rsidP="00F73DA3">
            <w:pPr>
              <w:jc w:val="right"/>
            </w:pPr>
            <w:r w:rsidRPr="00B87C6F">
              <w:rPr>
                <w:sz w:val="19"/>
              </w:rPr>
              <w:t>0.91</w:t>
            </w:r>
          </w:p>
        </w:tc>
        <w:tc>
          <w:tcPr>
            <w:tcW w:w="1728" w:type="dxa"/>
            <w:shd w:val="clear" w:color="auto" w:fill="F2F0EC"/>
          </w:tcPr>
          <w:p w14:paraId="2D5B32D9" w14:textId="77777777" w:rsidR="00F73DA3" w:rsidRPr="00B87C6F" w:rsidRDefault="00F73DA3" w:rsidP="00F73DA3">
            <w:pPr>
              <w:jc w:val="right"/>
            </w:pPr>
            <w:r w:rsidRPr="00B87C6F">
              <w:rPr>
                <w:sz w:val="19"/>
              </w:rPr>
              <w:t>-19.9%</w:t>
            </w:r>
          </w:p>
        </w:tc>
      </w:tr>
      <w:tr w:rsidR="00F73DA3" w:rsidRPr="00B87C6F" w14:paraId="6BF7C020" w14:textId="77777777" w:rsidTr="00F73DA3">
        <w:tc>
          <w:tcPr>
            <w:tcW w:w="2127" w:type="dxa"/>
          </w:tcPr>
          <w:p w14:paraId="7187E947" w14:textId="77777777" w:rsidR="00F73DA3" w:rsidRPr="00B87C6F" w:rsidRDefault="00F73DA3" w:rsidP="00F73DA3">
            <w:r w:rsidRPr="00B87C6F">
              <w:rPr>
                <w:sz w:val="19"/>
              </w:rPr>
              <w:t>Equity Equal-Weight</w:t>
            </w:r>
          </w:p>
        </w:tc>
        <w:tc>
          <w:tcPr>
            <w:tcW w:w="1329" w:type="dxa"/>
          </w:tcPr>
          <w:p w14:paraId="060D4EB2" w14:textId="77777777" w:rsidR="00F73DA3" w:rsidRPr="00B87C6F" w:rsidRDefault="00F73DA3" w:rsidP="00F73DA3">
            <w:pPr>
              <w:jc w:val="right"/>
            </w:pPr>
            <w:r w:rsidRPr="00B87C6F">
              <w:rPr>
                <w:sz w:val="19"/>
              </w:rPr>
              <w:t>13.3%</w:t>
            </w:r>
          </w:p>
        </w:tc>
        <w:tc>
          <w:tcPr>
            <w:tcW w:w="1728" w:type="dxa"/>
          </w:tcPr>
          <w:p w14:paraId="4790A68E" w14:textId="77777777" w:rsidR="00F73DA3" w:rsidRPr="00B87C6F" w:rsidRDefault="00F73DA3" w:rsidP="00F73DA3">
            <w:pPr>
              <w:jc w:val="right"/>
            </w:pPr>
            <w:r w:rsidRPr="00B87C6F">
              <w:rPr>
                <w:sz w:val="19"/>
              </w:rPr>
              <w:t>16.2%</w:t>
            </w:r>
          </w:p>
        </w:tc>
        <w:tc>
          <w:tcPr>
            <w:tcW w:w="1728" w:type="dxa"/>
          </w:tcPr>
          <w:p w14:paraId="13526FA7" w14:textId="77777777" w:rsidR="00F73DA3" w:rsidRPr="00B87C6F" w:rsidRDefault="00F73DA3" w:rsidP="00F73DA3">
            <w:pPr>
              <w:jc w:val="right"/>
            </w:pPr>
            <w:r w:rsidRPr="00B87C6F">
              <w:rPr>
                <w:sz w:val="19"/>
              </w:rPr>
              <w:t>0.86</w:t>
            </w:r>
          </w:p>
        </w:tc>
        <w:tc>
          <w:tcPr>
            <w:tcW w:w="1728" w:type="dxa"/>
          </w:tcPr>
          <w:p w14:paraId="5C9219E1" w14:textId="77777777" w:rsidR="00F73DA3" w:rsidRPr="00B87C6F" w:rsidRDefault="00F73DA3" w:rsidP="00F73DA3">
            <w:pPr>
              <w:jc w:val="right"/>
            </w:pPr>
            <w:r w:rsidRPr="00B87C6F">
              <w:rPr>
                <w:sz w:val="19"/>
              </w:rPr>
              <w:t>-20.3%</w:t>
            </w:r>
          </w:p>
        </w:tc>
      </w:tr>
      <w:tr w:rsidR="00F73DA3" w:rsidRPr="00B87C6F" w14:paraId="643C94E2" w14:textId="77777777" w:rsidTr="00F73DA3">
        <w:tc>
          <w:tcPr>
            <w:tcW w:w="2127" w:type="dxa"/>
            <w:shd w:val="clear" w:color="auto" w:fill="F2F0EC"/>
          </w:tcPr>
          <w:p w14:paraId="1A928157" w14:textId="77777777" w:rsidR="00F73DA3" w:rsidRPr="00B87C6F" w:rsidRDefault="00F73DA3" w:rsidP="00F73DA3">
            <w:r w:rsidRPr="00B87C6F">
              <w:rPr>
                <w:sz w:val="19"/>
              </w:rPr>
              <w:t>Equity Min-Variance</w:t>
            </w:r>
          </w:p>
        </w:tc>
        <w:tc>
          <w:tcPr>
            <w:tcW w:w="1329" w:type="dxa"/>
            <w:shd w:val="clear" w:color="auto" w:fill="F2F0EC"/>
          </w:tcPr>
          <w:p w14:paraId="0178A7DF" w14:textId="77777777" w:rsidR="00F73DA3" w:rsidRPr="00B87C6F" w:rsidRDefault="00F73DA3" w:rsidP="00F73DA3">
            <w:pPr>
              <w:jc w:val="right"/>
            </w:pPr>
            <w:r w:rsidRPr="00B87C6F">
              <w:rPr>
                <w:sz w:val="19"/>
              </w:rPr>
              <w:t>6.0%</w:t>
            </w:r>
          </w:p>
        </w:tc>
        <w:tc>
          <w:tcPr>
            <w:tcW w:w="1728" w:type="dxa"/>
            <w:shd w:val="clear" w:color="auto" w:fill="F2F0EC"/>
          </w:tcPr>
          <w:p w14:paraId="0CCCD182" w14:textId="77777777" w:rsidR="00F73DA3" w:rsidRPr="00B87C6F" w:rsidRDefault="00F73DA3" w:rsidP="00F73DA3">
            <w:pPr>
              <w:jc w:val="right"/>
            </w:pPr>
            <w:r w:rsidRPr="00B87C6F">
              <w:rPr>
                <w:sz w:val="19"/>
              </w:rPr>
              <w:t>12.7%</w:t>
            </w:r>
          </w:p>
        </w:tc>
        <w:tc>
          <w:tcPr>
            <w:tcW w:w="1728" w:type="dxa"/>
            <w:shd w:val="clear" w:color="auto" w:fill="F2F0EC"/>
          </w:tcPr>
          <w:p w14:paraId="288E243F" w14:textId="77777777" w:rsidR="00F73DA3" w:rsidRPr="00B87C6F" w:rsidRDefault="00F73DA3" w:rsidP="00F73DA3">
            <w:pPr>
              <w:jc w:val="right"/>
            </w:pPr>
            <w:r w:rsidRPr="00B87C6F">
              <w:rPr>
                <w:sz w:val="19"/>
              </w:rPr>
              <w:t>0.52</w:t>
            </w:r>
          </w:p>
        </w:tc>
        <w:tc>
          <w:tcPr>
            <w:tcW w:w="1728" w:type="dxa"/>
            <w:shd w:val="clear" w:color="auto" w:fill="F2F0EC"/>
          </w:tcPr>
          <w:p w14:paraId="701156D1" w14:textId="77777777" w:rsidR="00F73DA3" w:rsidRPr="00B87C6F" w:rsidRDefault="00F73DA3" w:rsidP="00F73DA3">
            <w:pPr>
              <w:jc w:val="right"/>
            </w:pPr>
            <w:r w:rsidRPr="00B87C6F">
              <w:rPr>
                <w:sz w:val="19"/>
              </w:rPr>
              <w:t>-15.5%</w:t>
            </w:r>
          </w:p>
        </w:tc>
      </w:tr>
      <w:tr w:rsidR="00F73DA3" w:rsidRPr="00B87C6F" w14:paraId="79E07041" w14:textId="77777777" w:rsidTr="00F73DA3">
        <w:tc>
          <w:tcPr>
            <w:tcW w:w="2127" w:type="dxa"/>
          </w:tcPr>
          <w:p w14:paraId="03289B6A" w14:textId="77777777" w:rsidR="00F73DA3" w:rsidRPr="00B87C6F" w:rsidRDefault="00F73DA3" w:rsidP="00F73DA3">
            <w:r w:rsidRPr="00B87C6F">
              <w:rPr>
                <w:sz w:val="19"/>
              </w:rPr>
              <w:t>Equity Max-Sharpe</w:t>
            </w:r>
          </w:p>
        </w:tc>
        <w:tc>
          <w:tcPr>
            <w:tcW w:w="1329" w:type="dxa"/>
          </w:tcPr>
          <w:p w14:paraId="47DEE7E8" w14:textId="77777777" w:rsidR="00F73DA3" w:rsidRPr="00B87C6F" w:rsidRDefault="00F73DA3" w:rsidP="00F73DA3">
            <w:pPr>
              <w:jc w:val="right"/>
            </w:pPr>
            <w:r w:rsidRPr="00B87C6F">
              <w:rPr>
                <w:sz w:val="19"/>
              </w:rPr>
              <w:t>9.8%</w:t>
            </w:r>
          </w:p>
        </w:tc>
        <w:tc>
          <w:tcPr>
            <w:tcW w:w="1728" w:type="dxa"/>
          </w:tcPr>
          <w:p w14:paraId="4D73842D" w14:textId="77777777" w:rsidR="00F73DA3" w:rsidRPr="00B87C6F" w:rsidRDefault="00F73DA3" w:rsidP="00F73DA3">
            <w:pPr>
              <w:jc w:val="right"/>
            </w:pPr>
            <w:r w:rsidRPr="00B87C6F">
              <w:rPr>
                <w:sz w:val="19"/>
              </w:rPr>
              <w:t>17.9%</w:t>
            </w:r>
          </w:p>
        </w:tc>
        <w:tc>
          <w:tcPr>
            <w:tcW w:w="1728" w:type="dxa"/>
          </w:tcPr>
          <w:p w14:paraId="63A29B78" w14:textId="77777777" w:rsidR="00F73DA3" w:rsidRPr="00B87C6F" w:rsidRDefault="00F73DA3" w:rsidP="00F73DA3">
            <w:pPr>
              <w:jc w:val="right"/>
            </w:pPr>
            <w:r w:rsidRPr="00B87C6F">
              <w:rPr>
                <w:sz w:val="19"/>
              </w:rPr>
              <w:t>0.61</w:t>
            </w:r>
          </w:p>
        </w:tc>
        <w:tc>
          <w:tcPr>
            <w:tcW w:w="1728" w:type="dxa"/>
          </w:tcPr>
          <w:p w14:paraId="703344B9" w14:textId="77777777" w:rsidR="00F73DA3" w:rsidRPr="00B87C6F" w:rsidRDefault="00F73DA3" w:rsidP="00F73DA3">
            <w:pPr>
              <w:jc w:val="right"/>
            </w:pPr>
            <w:r w:rsidRPr="00B87C6F">
              <w:rPr>
                <w:sz w:val="19"/>
              </w:rPr>
              <w:t>-27.6%</w:t>
            </w:r>
          </w:p>
        </w:tc>
      </w:tr>
      <w:tr w:rsidR="00F73DA3" w:rsidRPr="00B87C6F" w14:paraId="034BA7A6" w14:textId="77777777" w:rsidTr="00F73DA3">
        <w:tc>
          <w:tcPr>
            <w:tcW w:w="2127" w:type="dxa"/>
            <w:shd w:val="clear" w:color="auto" w:fill="F2F0EC"/>
          </w:tcPr>
          <w:p w14:paraId="323F61FA" w14:textId="77777777" w:rsidR="00F73DA3" w:rsidRPr="00B87C6F" w:rsidRDefault="00F73DA3" w:rsidP="00F73DA3">
            <w:r w:rsidRPr="00B87C6F">
              <w:rPr>
                <w:sz w:val="19"/>
              </w:rPr>
              <w:t>Equity Risk-Parity</w:t>
            </w:r>
          </w:p>
        </w:tc>
        <w:tc>
          <w:tcPr>
            <w:tcW w:w="1329" w:type="dxa"/>
            <w:shd w:val="clear" w:color="auto" w:fill="F2F0EC"/>
          </w:tcPr>
          <w:p w14:paraId="449E911B" w14:textId="77777777" w:rsidR="00F73DA3" w:rsidRPr="00B87C6F" w:rsidRDefault="00F73DA3" w:rsidP="00F73DA3">
            <w:pPr>
              <w:jc w:val="right"/>
            </w:pPr>
            <w:r w:rsidRPr="00B87C6F">
              <w:rPr>
                <w:sz w:val="19"/>
              </w:rPr>
              <w:t>10.6%</w:t>
            </w:r>
          </w:p>
        </w:tc>
        <w:tc>
          <w:tcPr>
            <w:tcW w:w="1728" w:type="dxa"/>
            <w:shd w:val="clear" w:color="auto" w:fill="F2F0EC"/>
          </w:tcPr>
          <w:p w14:paraId="1231981F" w14:textId="77777777" w:rsidR="00F73DA3" w:rsidRPr="00B87C6F" w:rsidRDefault="00F73DA3" w:rsidP="00F73DA3">
            <w:pPr>
              <w:jc w:val="right"/>
            </w:pPr>
            <w:r w:rsidRPr="00B87C6F">
              <w:rPr>
                <w:sz w:val="19"/>
              </w:rPr>
              <w:t>14.6%</w:t>
            </w:r>
          </w:p>
        </w:tc>
        <w:tc>
          <w:tcPr>
            <w:tcW w:w="1728" w:type="dxa"/>
            <w:shd w:val="clear" w:color="auto" w:fill="F2F0EC"/>
          </w:tcPr>
          <w:p w14:paraId="13A5928A" w14:textId="77777777" w:rsidR="00F73DA3" w:rsidRPr="00B87C6F" w:rsidRDefault="00F73DA3" w:rsidP="00F73DA3">
            <w:pPr>
              <w:jc w:val="right"/>
            </w:pPr>
            <w:r w:rsidRPr="00B87C6F">
              <w:rPr>
                <w:sz w:val="19"/>
              </w:rPr>
              <w:t>0.76</w:t>
            </w:r>
          </w:p>
        </w:tc>
        <w:tc>
          <w:tcPr>
            <w:tcW w:w="1728" w:type="dxa"/>
            <w:shd w:val="clear" w:color="auto" w:fill="F2F0EC"/>
          </w:tcPr>
          <w:p w14:paraId="51F3713A" w14:textId="77777777" w:rsidR="00F73DA3" w:rsidRPr="00B87C6F" w:rsidRDefault="00F73DA3" w:rsidP="00F73DA3">
            <w:pPr>
              <w:jc w:val="right"/>
            </w:pPr>
            <w:r w:rsidRPr="00B87C6F">
              <w:rPr>
                <w:sz w:val="19"/>
              </w:rPr>
              <w:t>-18.6%</w:t>
            </w:r>
          </w:p>
        </w:tc>
      </w:tr>
      <w:tr w:rsidR="00F73DA3" w:rsidRPr="00B87C6F" w14:paraId="2A99AFD5" w14:textId="77777777" w:rsidTr="00F73DA3">
        <w:tc>
          <w:tcPr>
            <w:tcW w:w="2127" w:type="dxa"/>
          </w:tcPr>
          <w:p w14:paraId="086B3C29" w14:textId="77777777" w:rsidR="00F73DA3" w:rsidRPr="00B87C6F" w:rsidRDefault="00F73DA3" w:rsidP="00F73DA3">
            <w:r w:rsidRPr="00B87C6F">
              <w:rPr>
                <w:sz w:val="19"/>
              </w:rPr>
              <w:t>Crypto Equal-Weight</w:t>
            </w:r>
          </w:p>
        </w:tc>
        <w:tc>
          <w:tcPr>
            <w:tcW w:w="1329" w:type="dxa"/>
          </w:tcPr>
          <w:p w14:paraId="14EFB4DC" w14:textId="77777777" w:rsidR="00F73DA3" w:rsidRPr="00B87C6F" w:rsidRDefault="00F73DA3" w:rsidP="00F73DA3">
            <w:pPr>
              <w:jc w:val="right"/>
            </w:pPr>
            <w:r w:rsidRPr="00B87C6F">
              <w:rPr>
                <w:sz w:val="19"/>
              </w:rPr>
              <w:t>51.9%</w:t>
            </w:r>
          </w:p>
        </w:tc>
        <w:tc>
          <w:tcPr>
            <w:tcW w:w="1728" w:type="dxa"/>
          </w:tcPr>
          <w:p w14:paraId="4AFA1CBA" w14:textId="77777777" w:rsidR="00F73DA3" w:rsidRPr="00B87C6F" w:rsidRDefault="00F73DA3" w:rsidP="00F73DA3">
            <w:pPr>
              <w:jc w:val="right"/>
            </w:pPr>
            <w:r w:rsidRPr="00B87C6F">
              <w:rPr>
                <w:sz w:val="19"/>
              </w:rPr>
              <w:t>81.0%</w:t>
            </w:r>
          </w:p>
        </w:tc>
        <w:tc>
          <w:tcPr>
            <w:tcW w:w="1728" w:type="dxa"/>
          </w:tcPr>
          <w:p w14:paraId="782CDABB" w14:textId="77777777" w:rsidR="00F73DA3" w:rsidRPr="00B87C6F" w:rsidRDefault="00F73DA3" w:rsidP="00F73DA3">
            <w:pPr>
              <w:jc w:val="right"/>
            </w:pPr>
            <w:r w:rsidRPr="00B87C6F">
              <w:rPr>
                <w:sz w:val="19"/>
              </w:rPr>
              <w:t>0.93</w:t>
            </w:r>
          </w:p>
        </w:tc>
        <w:tc>
          <w:tcPr>
            <w:tcW w:w="1728" w:type="dxa"/>
          </w:tcPr>
          <w:p w14:paraId="6BD02148" w14:textId="77777777" w:rsidR="00F73DA3" w:rsidRPr="00B87C6F" w:rsidRDefault="00F73DA3" w:rsidP="00F73DA3">
            <w:pPr>
              <w:jc w:val="right"/>
            </w:pPr>
            <w:r w:rsidRPr="00B87C6F">
              <w:rPr>
                <w:sz w:val="19"/>
              </w:rPr>
              <w:t>-81.6%</w:t>
            </w:r>
          </w:p>
        </w:tc>
      </w:tr>
      <w:tr w:rsidR="00F73DA3" w:rsidRPr="00B87C6F" w14:paraId="7A90D2A2" w14:textId="77777777" w:rsidTr="00F73DA3">
        <w:tc>
          <w:tcPr>
            <w:tcW w:w="2127" w:type="dxa"/>
            <w:shd w:val="clear" w:color="auto" w:fill="F2F0EC"/>
          </w:tcPr>
          <w:p w14:paraId="64FB4EC6" w14:textId="77777777" w:rsidR="00F73DA3" w:rsidRPr="00B87C6F" w:rsidRDefault="00F73DA3" w:rsidP="00F73DA3">
            <w:r w:rsidRPr="00B87C6F">
              <w:rPr>
                <w:sz w:val="19"/>
              </w:rPr>
              <w:t>Crypto Min-Variance</w:t>
            </w:r>
          </w:p>
        </w:tc>
        <w:tc>
          <w:tcPr>
            <w:tcW w:w="1329" w:type="dxa"/>
            <w:shd w:val="clear" w:color="auto" w:fill="F2F0EC"/>
          </w:tcPr>
          <w:p w14:paraId="1809FE50" w14:textId="77777777" w:rsidR="00F73DA3" w:rsidRPr="00B87C6F" w:rsidRDefault="00F73DA3" w:rsidP="00F73DA3">
            <w:pPr>
              <w:jc w:val="right"/>
            </w:pPr>
            <w:r w:rsidRPr="00B87C6F">
              <w:rPr>
                <w:sz w:val="19"/>
              </w:rPr>
              <w:t>86.9%</w:t>
            </w:r>
          </w:p>
        </w:tc>
        <w:tc>
          <w:tcPr>
            <w:tcW w:w="1728" w:type="dxa"/>
            <w:shd w:val="clear" w:color="auto" w:fill="F2F0EC"/>
          </w:tcPr>
          <w:p w14:paraId="526E0A9E" w14:textId="77777777" w:rsidR="00F73DA3" w:rsidRPr="00B87C6F" w:rsidRDefault="00F73DA3" w:rsidP="00F73DA3">
            <w:pPr>
              <w:jc w:val="right"/>
            </w:pPr>
            <w:r w:rsidRPr="00B87C6F">
              <w:rPr>
                <w:sz w:val="19"/>
              </w:rPr>
              <w:t>66.3%</w:t>
            </w:r>
          </w:p>
        </w:tc>
        <w:tc>
          <w:tcPr>
            <w:tcW w:w="1728" w:type="dxa"/>
            <w:shd w:val="clear" w:color="auto" w:fill="F2F0EC"/>
          </w:tcPr>
          <w:p w14:paraId="629A3B25" w14:textId="77777777" w:rsidR="00F73DA3" w:rsidRPr="00B87C6F" w:rsidRDefault="00F73DA3" w:rsidP="00F73DA3">
            <w:pPr>
              <w:jc w:val="right"/>
            </w:pPr>
            <w:r w:rsidRPr="00B87C6F">
              <w:rPr>
                <w:sz w:val="19"/>
              </w:rPr>
              <w:t>1.28</w:t>
            </w:r>
          </w:p>
        </w:tc>
        <w:tc>
          <w:tcPr>
            <w:tcW w:w="1728" w:type="dxa"/>
            <w:shd w:val="clear" w:color="auto" w:fill="F2F0EC"/>
          </w:tcPr>
          <w:p w14:paraId="51DBDBEC" w14:textId="77777777" w:rsidR="00F73DA3" w:rsidRPr="00B87C6F" w:rsidRDefault="00F73DA3" w:rsidP="00F73DA3">
            <w:pPr>
              <w:jc w:val="right"/>
            </w:pPr>
            <w:r w:rsidRPr="00B87C6F">
              <w:rPr>
                <w:sz w:val="19"/>
              </w:rPr>
              <w:t>-71.1%</w:t>
            </w:r>
          </w:p>
        </w:tc>
      </w:tr>
      <w:tr w:rsidR="00F73DA3" w:rsidRPr="00B87C6F" w14:paraId="025D6CCA" w14:textId="77777777" w:rsidTr="00F73DA3">
        <w:tc>
          <w:tcPr>
            <w:tcW w:w="2127" w:type="dxa"/>
          </w:tcPr>
          <w:p w14:paraId="20ED9241" w14:textId="77777777" w:rsidR="00F73DA3" w:rsidRPr="00B87C6F" w:rsidRDefault="00F73DA3" w:rsidP="00F73DA3">
            <w:r w:rsidRPr="00B87C6F">
              <w:rPr>
                <w:sz w:val="19"/>
              </w:rPr>
              <w:t>Crypto Max-Sharpe</w:t>
            </w:r>
          </w:p>
        </w:tc>
        <w:tc>
          <w:tcPr>
            <w:tcW w:w="1329" w:type="dxa"/>
          </w:tcPr>
          <w:p w14:paraId="551095C3" w14:textId="77777777" w:rsidR="00F73DA3" w:rsidRPr="00B87C6F" w:rsidRDefault="00F73DA3" w:rsidP="00F73DA3">
            <w:pPr>
              <w:jc w:val="right"/>
            </w:pPr>
            <w:r w:rsidRPr="00B87C6F">
              <w:rPr>
                <w:sz w:val="19"/>
              </w:rPr>
              <w:t>14.0%</w:t>
            </w:r>
          </w:p>
        </w:tc>
        <w:tc>
          <w:tcPr>
            <w:tcW w:w="1728" w:type="dxa"/>
          </w:tcPr>
          <w:p w14:paraId="784E44FC" w14:textId="77777777" w:rsidR="00F73DA3" w:rsidRPr="00B87C6F" w:rsidRDefault="00F73DA3" w:rsidP="00F73DA3">
            <w:pPr>
              <w:jc w:val="right"/>
            </w:pPr>
            <w:r w:rsidRPr="00B87C6F">
              <w:rPr>
                <w:sz w:val="19"/>
              </w:rPr>
              <w:t>77.2%</w:t>
            </w:r>
          </w:p>
        </w:tc>
        <w:tc>
          <w:tcPr>
            <w:tcW w:w="1728" w:type="dxa"/>
          </w:tcPr>
          <w:p w14:paraId="6DB96E02" w14:textId="77777777" w:rsidR="00F73DA3" w:rsidRPr="00B87C6F" w:rsidRDefault="00F73DA3" w:rsidP="00F73DA3">
            <w:pPr>
              <w:jc w:val="right"/>
            </w:pPr>
            <w:r w:rsidRPr="00B87C6F">
              <w:rPr>
                <w:sz w:val="19"/>
              </w:rPr>
              <w:t>0.56</w:t>
            </w:r>
          </w:p>
        </w:tc>
        <w:tc>
          <w:tcPr>
            <w:tcW w:w="1728" w:type="dxa"/>
          </w:tcPr>
          <w:p w14:paraId="7DBE234E" w14:textId="77777777" w:rsidR="00F73DA3" w:rsidRPr="00B87C6F" w:rsidRDefault="00F73DA3" w:rsidP="00F73DA3">
            <w:pPr>
              <w:jc w:val="right"/>
            </w:pPr>
            <w:r w:rsidRPr="00B87C6F">
              <w:rPr>
                <w:sz w:val="19"/>
              </w:rPr>
              <w:t>-85.9%</w:t>
            </w:r>
          </w:p>
        </w:tc>
      </w:tr>
      <w:tr w:rsidR="00F73DA3" w:rsidRPr="00B87C6F" w14:paraId="725E208F" w14:textId="77777777" w:rsidTr="00F73DA3">
        <w:tc>
          <w:tcPr>
            <w:tcW w:w="2127" w:type="dxa"/>
            <w:shd w:val="clear" w:color="auto" w:fill="F2F0EC"/>
          </w:tcPr>
          <w:p w14:paraId="552321D3" w14:textId="77777777" w:rsidR="00F73DA3" w:rsidRPr="00B87C6F" w:rsidRDefault="00F73DA3" w:rsidP="00F73DA3">
            <w:r w:rsidRPr="00B87C6F">
              <w:rPr>
                <w:sz w:val="19"/>
              </w:rPr>
              <w:t>Crypto Risk-Parity</w:t>
            </w:r>
          </w:p>
        </w:tc>
        <w:tc>
          <w:tcPr>
            <w:tcW w:w="1329" w:type="dxa"/>
            <w:shd w:val="clear" w:color="auto" w:fill="F2F0EC"/>
          </w:tcPr>
          <w:p w14:paraId="3FD58E72" w14:textId="77777777" w:rsidR="00F73DA3" w:rsidRPr="00B87C6F" w:rsidRDefault="00F73DA3" w:rsidP="00F73DA3">
            <w:pPr>
              <w:jc w:val="right"/>
            </w:pPr>
            <w:r w:rsidRPr="00B87C6F">
              <w:rPr>
                <w:sz w:val="19"/>
              </w:rPr>
              <w:t>57.5%</w:t>
            </w:r>
          </w:p>
        </w:tc>
        <w:tc>
          <w:tcPr>
            <w:tcW w:w="1728" w:type="dxa"/>
            <w:shd w:val="clear" w:color="auto" w:fill="F2F0EC"/>
          </w:tcPr>
          <w:p w14:paraId="7EC68061" w14:textId="77777777" w:rsidR="00F73DA3" w:rsidRPr="00B87C6F" w:rsidRDefault="00F73DA3" w:rsidP="00F73DA3">
            <w:pPr>
              <w:jc w:val="right"/>
            </w:pPr>
            <w:r w:rsidRPr="00B87C6F">
              <w:rPr>
                <w:sz w:val="19"/>
              </w:rPr>
              <w:t>78.8%</w:t>
            </w:r>
          </w:p>
        </w:tc>
        <w:tc>
          <w:tcPr>
            <w:tcW w:w="1728" w:type="dxa"/>
            <w:shd w:val="clear" w:color="auto" w:fill="F2F0EC"/>
          </w:tcPr>
          <w:p w14:paraId="203808B2" w14:textId="77777777" w:rsidR="00F73DA3" w:rsidRPr="00B87C6F" w:rsidRDefault="00F73DA3" w:rsidP="00F73DA3">
            <w:pPr>
              <w:jc w:val="right"/>
            </w:pPr>
            <w:r w:rsidRPr="00B87C6F">
              <w:rPr>
                <w:sz w:val="19"/>
              </w:rPr>
              <w:t>0.97</w:t>
            </w:r>
          </w:p>
        </w:tc>
        <w:tc>
          <w:tcPr>
            <w:tcW w:w="1728" w:type="dxa"/>
            <w:shd w:val="clear" w:color="auto" w:fill="F2F0EC"/>
          </w:tcPr>
          <w:p w14:paraId="20B24718" w14:textId="77777777" w:rsidR="00F73DA3" w:rsidRPr="00B87C6F" w:rsidRDefault="00F73DA3" w:rsidP="00F73DA3">
            <w:pPr>
              <w:jc w:val="right"/>
            </w:pPr>
            <w:r w:rsidRPr="00B87C6F">
              <w:rPr>
                <w:sz w:val="19"/>
              </w:rPr>
              <w:t>-79.7%</w:t>
            </w:r>
          </w:p>
        </w:tc>
      </w:tr>
      <w:tr w:rsidR="00F73DA3" w:rsidRPr="00B87C6F" w14:paraId="4E9896CE" w14:textId="77777777" w:rsidTr="00F73DA3">
        <w:tc>
          <w:tcPr>
            <w:tcW w:w="2127" w:type="dxa"/>
          </w:tcPr>
          <w:p w14:paraId="2013FAAC" w14:textId="77777777" w:rsidR="00F73DA3" w:rsidRPr="00B87C6F" w:rsidRDefault="00F73DA3" w:rsidP="00F73DA3">
            <w:proofErr w:type="spellStart"/>
            <w:r w:rsidRPr="00B87C6F">
              <w:rPr>
                <w:sz w:val="19"/>
              </w:rPr>
              <w:t>Equity+Sentiment</w:t>
            </w:r>
            <w:proofErr w:type="spellEnd"/>
            <w:r w:rsidRPr="00B87C6F">
              <w:rPr>
                <w:sz w:val="19"/>
              </w:rPr>
              <w:t xml:space="preserve"> Tilt</w:t>
            </w:r>
          </w:p>
        </w:tc>
        <w:tc>
          <w:tcPr>
            <w:tcW w:w="1329" w:type="dxa"/>
          </w:tcPr>
          <w:p w14:paraId="3984618A" w14:textId="77777777" w:rsidR="00F73DA3" w:rsidRPr="00B87C6F" w:rsidRDefault="00F73DA3" w:rsidP="00F73DA3">
            <w:pPr>
              <w:jc w:val="right"/>
            </w:pPr>
            <w:r w:rsidRPr="00B87C6F">
              <w:rPr>
                <w:sz w:val="19"/>
              </w:rPr>
              <w:t>9.2%</w:t>
            </w:r>
          </w:p>
        </w:tc>
        <w:tc>
          <w:tcPr>
            <w:tcW w:w="1728" w:type="dxa"/>
          </w:tcPr>
          <w:p w14:paraId="269EC8CC" w14:textId="77777777" w:rsidR="00F73DA3" w:rsidRPr="00B87C6F" w:rsidRDefault="00F73DA3" w:rsidP="00F73DA3">
            <w:pPr>
              <w:jc w:val="right"/>
            </w:pPr>
            <w:r w:rsidRPr="00B87C6F">
              <w:rPr>
                <w:sz w:val="19"/>
              </w:rPr>
              <w:t>18.1%</w:t>
            </w:r>
          </w:p>
        </w:tc>
        <w:tc>
          <w:tcPr>
            <w:tcW w:w="1728" w:type="dxa"/>
          </w:tcPr>
          <w:p w14:paraId="3489EF89" w14:textId="77777777" w:rsidR="00F73DA3" w:rsidRPr="00B87C6F" w:rsidRDefault="00F73DA3" w:rsidP="00F73DA3">
            <w:pPr>
              <w:jc w:val="right"/>
            </w:pPr>
            <w:r w:rsidRPr="00B87C6F">
              <w:rPr>
                <w:sz w:val="19"/>
              </w:rPr>
              <w:t>0.58</w:t>
            </w:r>
          </w:p>
        </w:tc>
        <w:tc>
          <w:tcPr>
            <w:tcW w:w="1728" w:type="dxa"/>
          </w:tcPr>
          <w:p w14:paraId="2AB721CE" w14:textId="77777777" w:rsidR="00F73DA3" w:rsidRPr="00B87C6F" w:rsidRDefault="00F73DA3" w:rsidP="00F73DA3">
            <w:pPr>
              <w:jc w:val="right"/>
            </w:pPr>
            <w:r w:rsidRPr="00B87C6F">
              <w:rPr>
                <w:sz w:val="19"/>
              </w:rPr>
              <w:t>-26.9%</w:t>
            </w:r>
          </w:p>
        </w:tc>
      </w:tr>
    </w:tbl>
    <w:p w14:paraId="2052FD44" w14:textId="14D7F9EE" w:rsidR="00F73DA3" w:rsidRDefault="00B87C6F" w:rsidP="00F73DA3">
      <w:pPr>
        <w:pStyle w:val="Caption"/>
        <w:jc w:val="center"/>
        <w:rPr>
          <w:noProof/>
        </w:rPr>
      </w:pPr>
      <w:r>
        <w:rPr>
          <w:i/>
          <w:color w:val="0F766E"/>
          <w:sz w:val="19"/>
          <w:lang w:eastAsia="zh-CN"/>
        </w:rPr>
        <w:br/>
      </w:r>
      <w:r w:rsidR="00F73DA3">
        <w:rPr>
          <w:color w:val="990F3D"/>
          <w:lang w:eastAsia="zh-CN"/>
        </w:rPr>
        <w:t>Table</w:t>
      </w:r>
      <w:r w:rsidR="00F73DA3" w:rsidRPr="00B87C6F">
        <w:rPr>
          <w:rFonts w:hint="eastAsia"/>
          <w:color w:val="990F3D"/>
          <w:lang w:eastAsia="zh-CN"/>
        </w:rPr>
        <w:t xml:space="preserve"> </w:t>
      </w:r>
      <w:r w:rsidR="00F73DA3" w:rsidRPr="00B87C6F">
        <w:rPr>
          <w:color w:val="990F3D"/>
        </w:rPr>
        <w:t xml:space="preserve">1 — </w:t>
      </w:r>
      <w:r w:rsidR="00F73DA3" w:rsidRPr="00B87C6F">
        <w:rPr>
          <w:color w:val="6B625C"/>
        </w:rPr>
        <w:t>Out-of-sample performance by fund: annuali</w:t>
      </w:r>
      <w:r w:rsidR="00621CD0">
        <w:rPr>
          <w:color w:val="6B625C"/>
        </w:rPr>
        <w:t>z</w:t>
      </w:r>
      <w:r w:rsidR="00F73DA3" w:rsidRPr="00B87C6F">
        <w:rPr>
          <w:color w:val="6B625C"/>
        </w:rPr>
        <w:t>ed return and volatility, Sharpe ratio (risk-free rate 0) and maximum drawdown. Equity-calendar funds Feb 2021 – Dec 2023 (734 days); pure-crypto funds from Oct 2020 (1,187 days) on their own calendar. Zero transaction costs</w:t>
      </w:r>
      <w:r w:rsidR="00F73DA3">
        <w:rPr>
          <w:color w:val="6B625C"/>
        </w:rPr>
        <w:br/>
      </w:r>
      <w:r w:rsidR="00F73DA3" w:rsidRPr="00F73DA3">
        <w:rPr>
          <w:noProof/>
          <w:highlight w:val="yellow"/>
        </w:rPr>
        <w:t xml:space="preserve"> </w:t>
      </w:r>
      <w:r w:rsidR="00F73DA3" w:rsidRPr="00840B21">
        <w:rPr>
          <w:noProof/>
          <w:highlight w:val="yellow"/>
        </w:rPr>
        <w:drawing>
          <wp:inline distT="0" distB="0" distL="0" distR="0" wp14:anchorId="286616D8" wp14:editId="7EB28808">
            <wp:extent cx="5486400" cy="1869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_of_1_all_funds.png"/>
                    <pic:cNvPicPr/>
                  </pic:nvPicPr>
                  <pic:blipFill>
                    <a:blip r:embed="rId8"/>
                    <a:stretch>
                      <a:fillRect/>
                    </a:stretch>
                  </pic:blipFill>
                  <pic:spPr>
                    <a:xfrm>
                      <a:off x="0" y="0"/>
                      <a:ext cx="5486400" cy="1869440"/>
                    </a:xfrm>
                    <a:prstGeom prst="rect">
                      <a:avLst/>
                    </a:prstGeom>
                  </pic:spPr>
                </pic:pic>
              </a:graphicData>
            </a:graphic>
          </wp:inline>
        </w:drawing>
      </w:r>
    </w:p>
    <w:p w14:paraId="302E4E74" w14:textId="3C9BEDFC" w:rsidR="0069157B" w:rsidRPr="0069157B" w:rsidRDefault="00C72875" w:rsidP="00F73DA3">
      <w:pPr>
        <w:pStyle w:val="Caption"/>
        <w:jc w:val="center"/>
        <w:rPr>
          <w:noProof/>
        </w:rPr>
      </w:pPr>
      <w:r>
        <w:rPr>
          <w:color w:val="990F3D"/>
          <w:lang w:eastAsia="zh-CN"/>
        </w:rPr>
        <w:t>Figure</w:t>
      </w:r>
      <w:r w:rsidR="00F73DA3" w:rsidRPr="0069157B">
        <w:rPr>
          <w:color w:val="990F3D"/>
        </w:rPr>
        <w:t xml:space="preserve"> 2 — </w:t>
      </w:r>
      <w:r w:rsidR="00F73DA3" w:rsidRPr="0069157B">
        <w:rPr>
          <w:color w:val="6B625C"/>
        </w:rPr>
        <w:t>Growth of $1, one panel per asset family (thirteen funds incl. the tilt variant); method colors are shared across panels, line ends carry terminal values, panels scaled independently (Feb 2021 – Dec 2023; pure</w:t>
      </w:r>
      <w:r w:rsidR="0069157B" w:rsidRPr="0069157B">
        <w:rPr>
          <w:color w:val="6B625C"/>
        </w:rPr>
        <w:t xml:space="preserve"> </w:t>
      </w:r>
      <w:r w:rsidR="00F73DA3" w:rsidRPr="0069157B">
        <w:rPr>
          <w:color w:val="6B625C"/>
        </w:rPr>
        <w:t>crypto funds from Oct 2020).</w:t>
      </w:r>
      <w:r w:rsidR="00F73DA3" w:rsidRPr="0069157B">
        <w:rPr>
          <w:noProof/>
        </w:rPr>
        <w:t xml:space="preserve"> </w:t>
      </w:r>
    </w:p>
    <w:p w14:paraId="2DDBC360" w14:textId="272E242B" w:rsidR="00F73DA3" w:rsidRDefault="00F73DA3" w:rsidP="00F73DA3">
      <w:pPr>
        <w:pStyle w:val="Caption"/>
        <w:jc w:val="center"/>
        <w:rPr>
          <w:noProof/>
          <w:highlight w:val="yellow"/>
        </w:rPr>
      </w:pPr>
      <w:r w:rsidRPr="00840B21">
        <w:rPr>
          <w:noProof/>
          <w:highlight w:val="yellow"/>
        </w:rPr>
        <w:lastRenderedPageBreak/>
        <w:drawing>
          <wp:inline distT="0" distB="0" distL="0" distR="0" wp14:anchorId="7DB763ED" wp14:editId="57452BD9">
            <wp:extent cx="4555375" cy="2530764"/>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pe_by_fund.png"/>
                    <pic:cNvPicPr/>
                  </pic:nvPicPr>
                  <pic:blipFill>
                    <a:blip r:embed="rId9"/>
                    <a:stretch>
                      <a:fillRect/>
                    </a:stretch>
                  </pic:blipFill>
                  <pic:spPr>
                    <a:xfrm>
                      <a:off x="0" y="0"/>
                      <a:ext cx="4562038" cy="2534465"/>
                    </a:xfrm>
                    <a:prstGeom prst="rect">
                      <a:avLst/>
                    </a:prstGeom>
                  </pic:spPr>
                </pic:pic>
              </a:graphicData>
            </a:graphic>
          </wp:inline>
        </w:drawing>
      </w:r>
    </w:p>
    <w:p w14:paraId="4A93C9D5" w14:textId="37EC0BB4" w:rsidR="0069157B" w:rsidRPr="0069157B" w:rsidRDefault="00C72875" w:rsidP="0069157B">
      <w:pPr>
        <w:pStyle w:val="Caption"/>
        <w:jc w:val="center"/>
      </w:pPr>
      <w:r>
        <w:rPr>
          <w:color w:val="990F3D"/>
        </w:rPr>
        <w:t>Figure</w:t>
      </w:r>
      <w:r w:rsidR="0069157B" w:rsidRPr="0069157B">
        <w:rPr>
          <w:color w:val="990F3D"/>
        </w:rPr>
        <w:t xml:space="preserve"> 3 — </w:t>
      </w:r>
      <w:r w:rsidR="0069157B" w:rsidRPr="0069157B">
        <w:rPr>
          <w:color w:val="6B625C"/>
        </w:rPr>
        <w:t xml:space="preserve">Out-of-sample Sharpe ratio by fund (risk-free rate 0), same periods as </w:t>
      </w:r>
      <w:r w:rsidR="00F31E73">
        <w:rPr>
          <w:color w:val="6B625C"/>
        </w:rPr>
        <w:t>Table</w:t>
      </w:r>
      <w:r w:rsidR="0069157B" w:rsidRPr="0069157B">
        <w:rPr>
          <w:color w:val="6B625C"/>
        </w:rPr>
        <w:t xml:space="preserve"> 1.</w:t>
      </w:r>
    </w:p>
    <w:p w14:paraId="5547695E" w14:textId="53DE345D" w:rsidR="0069157B" w:rsidRDefault="00B87C6F">
      <w:pPr>
        <w:rPr>
          <w:lang w:eastAsia="zh-CN"/>
        </w:rPr>
      </w:pPr>
      <w:bookmarkStart w:id="4" w:name="OLE_LINK6"/>
      <w:r w:rsidRPr="00B87C6F">
        <w:rPr>
          <w:lang w:eastAsia="zh-CN"/>
        </w:rPr>
        <w:t xml:space="preserve">In this section, Table 1, </w:t>
      </w:r>
      <w:proofErr w:type="gramStart"/>
      <w:r w:rsidRPr="00B87C6F">
        <w:rPr>
          <w:lang w:eastAsia="zh-CN"/>
        </w:rPr>
        <w:t>Figure</w:t>
      </w:r>
      <w:proofErr w:type="gramEnd"/>
      <w:r w:rsidRPr="00B87C6F">
        <w:rPr>
          <w:lang w:eastAsia="zh-CN"/>
        </w:rPr>
        <w:t xml:space="preserve"> 2 and 3 summarize the out-of-sample performance of all funds over a three-year period. The conclusion is that asset classes determine the extremes, while investment strategies determine the shape of the performance curve. The highest Sharpe ratio across the entire portfolio came from the Crypto </w:t>
      </w:r>
      <w:r w:rsidR="00112CBC">
        <w:rPr>
          <w:lang w:eastAsia="zh-CN"/>
        </w:rPr>
        <w:t>M</w:t>
      </w:r>
      <w:r w:rsidRPr="00B87C6F">
        <w:rPr>
          <w:lang w:eastAsia="zh-CN"/>
        </w:rPr>
        <w:t>in</w:t>
      </w:r>
      <w:r w:rsidR="00112CBC">
        <w:rPr>
          <w:lang w:eastAsia="zh-CN"/>
        </w:rPr>
        <w:t>-</w:t>
      </w:r>
      <w:r w:rsidRPr="00B87C6F">
        <w:rPr>
          <w:lang w:eastAsia="zh-CN"/>
        </w:rPr>
        <w:t xml:space="preserve">Variance fund at 1.28, driven by an annualized return of 86.9% against a volatility of 66.3%. However, the deepest drawdown was also found in the crypto category, with the same fund experiencing a maximum decline of 71.1%. Looking at the hybrid category, the </w:t>
      </w:r>
      <w:r w:rsidR="00A5034D">
        <w:rPr>
          <w:lang w:eastAsia="zh-CN"/>
        </w:rPr>
        <w:t xml:space="preserve">Combined </w:t>
      </w:r>
      <w:r w:rsidRPr="00B87C6F">
        <w:rPr>
          <w:rFonts w:hint="eastAsia"/>
          <w:lang w:eastAsia="zh-CN"/>
        </w:rPr>
        <w:t>R</w:t>
      </w:r>
      <w:r w:rsidRPr="00B87C6F">
        <w:rPr>
          <w:lang w:eastAsia="zh-CN"/>
        </w:rPr>
        <w:t>isk</w:t>
      </w:r>
      <w:r w:rsidR="00A5034D">
        <w:rPr>
          <w:lang w:eastAsia="zh-CN"/>
        </w:rPr>
        <w:t>-</w:t>
      </w:r>
      <w:r w:rsidRPr="00B87C6F">
        <w:rPr>
          <w:lang w:eastAsia="zh-CN"/>
        </w:rPr>
        <w:t xml:space="preserve">Parity had the highest Sharpe </w:t>
      </w:r>
      <w:r w:rsidR="00D536B3">
        <w:rPr>
          <w:lang w:eastAsia="zh-CN"/>
        </w:rPr>
        <w:t>r</w:t>
      </w:r>
      <w:r w:rsidRPr="00B87C6F">
        <w:rPr>
          <w:lang w:eastAsia="zh-CN"/>
        </w:rPr>
        <w:t>atio at 0.91, with a return of 14.1% and volatility of 15.9%.</w:t>
      </w:r>
      <w:r w:rsidR="009924EA">
        <w:rPr>
          <w:rFonts w:hint="eastAsia"/>
          <w:lang w:eastAsia="zh-CN"/>
        </w:rPr>
        <w:t xml:space="preserve"> </w:t>
      </w:r>
      <w:r w:rsidR="00112CBC">
        <w:rPr>
          <w:lang w:eastAsia="zh-CN"/>
        </w:rPr>
        <w:t xml:space="preserve">Combined </w:t>
      </w:r>
      <w:r w:rsidRPr="00B87C6F">
        <w:rPr>
          <w:lang w:eastAsia="zh-CN"/>
        </w:rPr>
        <w:t>Max</w:t>
      </w:r>
      <w:r w:rsidR="00112CBC">
        <w:rPr>
          <w:lang w:eastAsia="zh-CN"/>
        </w:rPr>
        <w:t>-</w:t>
      </w:r>
      <w:r w:rsidRPr="00B87C6F">
        <w:rPr>
          <w:lang w:eastAsia="zh-CN"/>
        </w:rPr>
        <w:t>Sharpe ratio delivered the highest return</w:t>
      </w:r>
      <w:r w:rsidR="009924EA">
        <w:rPr>
          <w:rFonts w:hint="eastAsia"/>
          <w:lang w:eastAsia="zh-CN"/>
        </w:rPr>
        <w:t xml:space="preserve"> in</w:t>
      </w:r>
      <w:r w:rsidR="009924EA">
        <w:rPr>
          <w:lang w:eastAsia="zh-CN"/>
        </w:rPr>
        <w:t xml:space="preserve"> the combined family</w:t>
      </w:r>
      <w:r w:rsidR="009924EA" w:rsidRPr="00B87C6F">
        <w:rPr>
          <w:lang w:eastAsia="zh-CN"/>
        </w:rPr>
        <w:t xml:space="preserve"> </w:t>
      </w:r>
      <w:r w:rsidRPr="00B87C6F">
        <w:rPr>
          <w:lang w:eastAsia="zh-CN"/>
        </w:rPr>
        <w:t>at 17.2%</w:t>
      </w:r>
      <w:r w:rsidR="009924EA">
        <w:rPr>
          <w:lang w:eastAsia="zh-CN"/>
        </w:rPr>
        <w:t xml:space="preserve">, with a </w:t>
      </w:r>
      <w:r w:rsidRPr="00B87C6F">
        <w:rPr>
          <w:lang w:eastAsia="zh-CN"/>
        </w:rPr>
        <w:t>drawdown of -27.3</w:t>
      </w:r>
      <w:r w:rsidR="00112CBC">
        <w:rPr>
          <w:lang w:eastAsia="zh-CN"/>
        </w:rPr>
        <w:t>%</w:t>
      </w:r>
      <w:r w:rsidR="009924EA">
        <w:rPr>
          <w:lang w:eastAsia="zh-CN"/>
        </w:rPr>
        <w:t xml:space="preserve"> that occurred on 30 September 2022. The deepest draw</w:t>
      </w:r>
      <w:r w:rsidR="00D536B3">
        <w:rPr>
          <w:lang w:eastAsia="zh-CN"/>
        </w:rPr>
        <w:t>down in the combined family belongs to Combined Equal-Weight at -28.7%, on the same date</w:t>
      </w:r>
      <w:r w:rsidRPr="00B87C6F">
        <w:rPr>
          <w:lang w:eastAsia="zh-CN"/>
        </w:rPr>
        <w:t xml:space="preserve">. </w:t>
      </w:r>
      <w:r w:rsidR="00112CBC">
        <w:rPr>
          <w:lang w:eastAsia="zh-CN"/>
        </w:rPr>
        <w:t xml:space="preserve">Combined </w:t>
      </w:r>
      <w:r w:rsidRPr="00B87C6F">
        <w:rPr>
          <w:lang w:eastAsia="zh-CN"/>
        </w:rPr>
        <w:t xml:space="preserve">Min-Variance was the most stable fund across the entire portfolio, with the volatility of only 12.7% and a maximum drawdown of -15.6%, though at the cost of the lowest return </w:t>
      </w:r>
      <w:r w:rsidR="00112CBC">
        <w:rPr>
          <w:lang w:eastAsia="zh-CN"/>
        </w:rPr>
        <w:t xml:space="preserve">in the combined family </w:t>
      </w:r>
      <w:r w:rsidRPr="00B87C6F">
        <w:rPr>
          <w:lang w:eastAsia="zh-CN"/>
        </w:rPr>
        <w:t>at 6.7%.</w:t>
      </w:r>
    </w:p>
    <w:p w14:paraId="2F4FF66A" w14:textId="2B286270" w:rsidR="0069157B" w:rsidRDefault="00F73DA3">
      <w:pPr>
        <w:rPr>
          <w:lang w:eastAsia="zh-CN"/>
        </w:rPr>
      </w:pPr>
      <w:r w:rsidRPr="00F73DA3">
        <w:rPr>
          <w:lang w:eastAsia="zh-CN"/>
        </w:rPr>
        <w:t xml:space="preserve">The Growth of $1 plot illustrates the same numbers in more direct </w:t>
      </w:r>
      <w:r w:rsidR="00E9357F">
        <w:rPr>
          <w:rFonts w:hint="eastAsia"/>
          <w:lang w:eastAsia="zh-CN"/>
        </w:rPr>
        <w:t>terms</w:t>
      </w:r>
      <w:r w:rsidRPr="00F73DA3">
        <w:rPr>
          <w:lang w:eastAsia="zh-CN"/>
        </w:rPr>
        <w:t>. The $1 of Combined Max-Sharpe</w:t>
      </w:r>
      <w:r w:rsidR="00ED51AC">
        <w:rPr>
          <w:lang w:eastAsia="zh-CN"/>
        </w:rPr>
        <w:t xml:space="preserve"> reaches</w:t>
      </w:r>
      <w:r w:rsidRPr="00F73DA3">
        <w:rPr>
          <w:lang w:eastAsia="zh-CN"/>
        </w:rPr>
        <w:t xml:space="preserve"> $1.59, Combined Min-Variance grows to $1.21, and Crypto Min-Variance rises dramatically to $7.64. However, the peak and bottom points of cryptocurrency </w:t>
      </w:r>
      <w:r w:rsidR="00ED51AC">
        <w:rPr>
          <w:lang w:eastAsia="zh-CN"/>
        </w:rPr>
        <w:t>are both</w:t>
      </w:r>
      <w:r w:rsidRPr="00F73DA3">
        <w:rPr>
          <w:lang w:eastAsia="zh-CN"/>
        </w:rPr>
        <w:t xml:space="preserve"> </w:t>
      </w:r>
      <w:r w:rsidR="00ED51AC">
        <w:rPr>
          <w:lang w:eastAsia="zh-CN"/>
        </w:rPr>
        <w:t>far beyond</w:t>
      </w:r>
      <w:r w:rsidRPr="00F73DA3">
        <w:rPr>
          <w:lang w:eastAsia="zh-CN"/>
        </w:rPr>
        <w:t xml:space="preserve"> </w:t>
      </w:r>
      <w:r w:rsidR="0069157B">
        <w:rPr>
          <w:lang w:eastAsia="zh-CN"/>
        </w:rPr>
        <w:t xml:space="preserve">those of </w:t>
      </w:r>
      <w:r w:rsidRPr="00F73DA3">
        <w:rPr>
          <w:lang w:eastAsia="zh-CN"/>
        </w:rPr>
        <w:t xml:space="preserve">other families. The </w:t>
      </w:r>
      <w:r w:rsidR="0069157B">
        <w:rPr>
          <w:rFonts w:hint="eastAsia"/>
          <w:lang w:eastAsia="zh-CN"/>
        </w:rPr>
        <w:t>m</w:t>
      </w:r>
      <w:r w:rsidR="0069157B">
        <w:rPr>
          <w:lang w:eastAsia="zh-CN"/>
        </w:rPr>
        <w:t xml:space="preserve">aximum </w:t>
      </w:r>
      <w:r w:rsidRPr="00F73DA3">
        <w:rPr>
          <w:rFonts w:hint="eastAsia"/>
          <w:lang w:eastAsia="zh-CN"/>
        </w:rPr>
        <w:t>d</w:t>
      </w:r>
      <w:r w:rsidRPr="00F73DA3">
        <w:rPr>
          <w:lang w:eastAsia="zh-CN"/>
        </w:rPr>
        <w:t>rawdow</w:t>
      </w:r>
      <w:r w:rsidR="0069157B">
        <w:rPr>
          <w:lang w:eastAsia="zh-CN"/>
        </w:rPr>
        <w:t>n</w:t>
      </w:r>
      <w:r w:rsidRPr="00F73DA3">
        <w:rPr>
          <w:lang w:eastAsia="zh-CN"/>
        </w:rPr>
        <w:t xml:space="preserve"> </w:t>
      </w:r>
      <w:r w:rsidR="0069157B">
        <w:rPr>
          <w:lang w:eastAsia="zh-CN"/>
        </w:rPr>
        <w:t xml:space="preserve">in </w:t>
      </w:r>
      <w:r w:rsidR="00057B0E">
        <w:rPr>
          <w:lang w:eastAsia="zh-CN"/>
        </w:rPr>
        <w:t xml:space="preserve">Table 1 shows that </w:t>
      </w:r>
      <w:r w:rsidR="00E9357F">
        <w:rPr>
          <w:rFonts w:hint="eastAsia"/>
          <w:lang w:eastAsia="zh-CN"/>
        </w:rPr>
        <w:t xml:space="preserve">Crypto </w:t>
      </w:r>
      <w:r w:rsidR="00E9357F">
        <w:rPr>
          <w:lang w:eastAsia="zh-CN"/>
        </w:rPr>
        <w:t xml:space="preserve">Max-Sharpe </w:t>
      </w:r>
      <w:r w:rsidR="00057B0E">
        <w:rPr>
          <w:lang w:eastAsia="zh-CN"/>
        </w:rPr>
        <w:t>experienced</w:t>
      </w:r>
      <w:r w:rsidR="00ED51AC">
        <w:rPr>
          <w:lang w:eastAsia="zh-CN"/>
        </w:rPr>
        <w:t xml:space="preserve"> its largest drawdown of 85.9% from the previous peak. </w:t>
      </w:r>
      <w:r w:rsidR="00010139">
        <w:rPr>
          <w:lang w:eastAsia="zh-CN"/>
        </w:rPr>
        <w:t xml:space="preserve">Appendix A1 shows this kind of path in a drawdown plot of Combined Max-Sharpe. </w:t>
      </w:r>
      <w:r w:rsidR="00057B0E">
        <w:rPr>
          <w:lang w:eastAsia="zh-CN"/>
        </w:rPr>
        <w:t xml:space="preserve">By looking at the return rate individually, users would not recognize </w:t>
      </w:r>
      <w:r w:rsidR="00E9357F">
        <w:rPr>
          <w:lang w:eastAsia="zh-CN"/>
        </w:rPr>
        <w:t xml:space="preserve">that </w:t>
      </w:r>
      <w:r w:rsidR="00057B0E">
        <w:rPr>
          <w:lang w:eastAsia="zh-CN"/>
        </w:rPr>
        <w:t xml:space="preserve">holding those funds requires </w:t>
      </w:r>
      <w:r w:rsidR="00E9357F">
        <w:rPr>
          <w:lang w:eastAsia="zh-CN"/>
        </w:rPr>
        <w:t>accepting</w:t>
      </w:r>
      <w:r w:rsidR="00057B0E">
        <w:rPr>
          <w:lang w:eastAsia="zh-CN"/>
        </w:rPr>
        <w:t xml:space="preserve"> </w:t>
      </w:r>
      <w:r w:rsidR="00E9357F">
        <w:rPr>
          <w:lang w:eastAsia="zh-CN"/>
        </w:rPr>
        <w:t>a</w:t>
      </w:r>
      <w:r w:rsidR="00057B0E">
        <w:rPr>
          <w:lang w:eastAsia="zh-CN"/>
        </w:rPr>
        <w:t xml:space="preserve"> drawdown </w:t>
      </w:r>
      <w:r w:rsidR="00E9357F">
        <w:rPr>
          <w:lang w:eastAsia="zh-CN"/>
        </w:rPr>
        <w:t xml:space="preserve">of </w:t>
      </w:r>
      <w:r w:rsidR="00057B0E">
        <w:rPr>
          <w:lang w:eastAsia="zh-CN"/>
        </w:rPr>
        <w:t>around 70% to 86%.</w:t>
      </w:r>
    </w:p>
    <w:p w14:paraId="267F2B46" w14:textId="19BAAFCE" w:rsidR="00ED51AC" w:rsidRDefault="00700126">
      <w:pPr>
        <w:rPr>
          <w:lang w:eastAsia="zh-CN"/>
        </w:rPr>
      </w:pPr>
      <w:r>
        <w:rPr>
          <w:lang w:eastAsia="zh-CN"/>
        </w:rPr>
        <w:t xml:space="preserve">The matrix also explained </w:t>
      </w:r>
      <w:r w:rsidR="00885B93">
        <w:rPr>
          <w:lang w:eastAsia="zh-CN"/>
        </w:rPr>
        <w:t>the</w:t>
      </w:r>
      <w:r>
        <w:rPr>
          <w:lang w:eastAsia="zh-CN"/>
        </w:rPr>
        <w:t xml:space="preserve"> question of whether adding cryptocurrency </w:t>
      </w:r>
      <w:r w:rsidR="00885B93">
        <w:rPr>
          <w:lang w:eastAsia="zh-CN"/>
        </w:rPr>
        <w:t xml:space="preserve">to the stock pool would make the performance of the fund better or not. Using the same method to measure the Sharpe ratio of </w:t>
      </w:r>
      <w:r w:rsidR="001425F9">
        <w:rPr>
          <w:lang w:eastAsia="zh-CN"/>
        </w:rPr>
        <w:t>equity-only</w:t>
      </w:r>
      <w:r w:rsidR="00885B93">
        <w:rPr>
          <w:lang w:eastAsia="zh-CN"/>
        </w:rPr>
        <w:t xml:space="preserve"> and </w:t>
      </w:r>
      <w:r w:rsidR="001425F9">
        <w:rPr>
          <w:lang w:eastAsia="zh-CN"/>
        </w:rPr>
        <w:t>combined</w:t>
      </w:r>
      <w:r w:rsidR="00885B93">
        <w:rPr>
          <w:lang w:eastAsia="zh-CN"/>
        </w:rPr>
        <w:t xml:space="preserve"> funds together, the result shows that all three </w:t>
      </w:r>
      <w:r w:rsidR="001425F9">
        <w:rPr>
          <w:lang w:eastAsia="zh-CN"/>
        </w:rPr>
        <w:t>optimized</w:t>
      </w:r>
      <w:r w:rsidR="00885B93">
        <w:rPr>
          <w:lang w:eastAsia="zh-CN"/>
        </w:rPr>
        <w:t xml:space="preserve"> methods </w:t>
      </w:r>
      <w:r w:rsidR="001425F9">
        <w:rPr>
          <w:lang w:eastAsia="zh-CN"/>
        </w:rPr>
        <w:t>improved</w:t>
      </w:r>
      <w:r w:rsidR="00885B93">
        <w:rPr>
          <w:lang w:eastAsia="zh-CN"/>
        </w:rPr>
        <w:t xml:space="preserve">. The </w:t>
      </w:r>
      <w:r w:rsidR="001425F9">
        <w:rPr>
          <w:lang w:eastAsia="zh-CN"/>
        </w:rPr>
        <w:t>Maximum-Sharpe</w:t>
      </w:r>
      <w:r w:rsidR="00885B93">
        <w:rPr>
          <w:lang w:eastAsia="zh-CN"/>
        </w:rPr>
        <w:t xml:space="preserve"> increased from 0.61 to 0.83, the minimum </w:t>
      </w:r>
      <w:r w:rsidR="00885B93">
        <w:rPr>
          <w:lang w:eastAsia="zh-CN"/>
        </w:rPr>
        <w:lastRenderedPageBreak/>
        <w:t xml:space="preserve">variance saw a slight increase from 0.52 to 0.57, and the risk parity rose from 0.76 to 0.91. However, the performance of the Equal-Weight fund worsened, dropping from 0.86 to 0.76. The reason is that no matter what the risk is, the Equal-Weight fund always </w:t>
      </w:r>
      <w:r w:rsidR="001425F9">
        <w:rPr>
          <w:lang w:eastAsia="zh-CN"/>
        </w:rPr>
        <w:t>places</w:t>
      </w:r>
      <w:r w:rsidR="00885B93">
        <w:rPr>
          <w:lang w:eastAsia="zh-CN"/>
        </w:rPr>
        <w:t xml:space="preserve"> one-</w:t>
      </w:r>
      <w:r w:rsidR="001425F9">
        <w:rPr>
          <w:lang w:eastAsia="zh-CN"/>
        </w:rPr>
        <w:t>sixth</w:t>
      </w:r>
      <w:r w:rsidR="00885B93">
        <w:rPr>
          <w:rFonts w:hint="eastAsia"/>
          <w:lang w:eastAsia="zh-CN"/>
        </w:rPr>
        <w:t xml:space="preserve"> </w:t>
      </w:r>
      <w:r w:rsidR="00885B93">
        <w:rPr>
          <w:lang w:eastAsia="zh-CN"/>
        </w:rPr>
        <w:t>of the portfolio in cryptocurrency, whereas the optimization methods can determine the allocation on their own. Therefore, the conclusion is conditional: whether including cryptocurrency improves performance depends on whether there is a rule to determine its allocation.</w:t>
      </w:r>
    </w:p>
    <w:p w14:paraId="09FB7C87" w14:textId="570B99D3" w:rsidR="007B2F6C" w:rsidRDefault="007B2F6C">
      <w:pPr>
        <w:rPr>
          <w:lang w:eastAsia="zh-CN"/>
        </w:rPr>
      </w:pPr>
      <w:r>
        <w:rPr>
          <w:lang w:eastAsia="zh-CN"/>
        </w:rPr>
        <w:t>Appendix A2 shows the</w:t>
      </w:r>
      <w:r w:rsidR="007C52C1">
        <w:rPr>
          <w:lang w:eastAsia="zh-CN"/>
        </w:rPr>
        <w:t xml:space="preserve"> monthly target weight</w:t>
      </w:r>
      <w:r>
        <w:rPr>
          <w:rFonts w:hint="eastAsia"/>
          <w:lang w:eastAsia="zh-CN"/>
        </w:rPr>
        <w:t xml:space="preserve"> </w:t>
      </w:r>
      <w:r>
        <w:rPr>
          <w:lang w:eastAsia="zh-CN"/>
        </w:rPr>
        <w:t>of the Combined Max-Sharp</w:t>
      </w:r>
      <w:r w:rsidR="00F31E73">
        <w:rPr>
          <w:rFonts w:hint="eastAsia"/>
          <w:lang w:eastAsia="zh-CN"/>
        </w:rPr>
        <w:t>e</w:t>
      </w:r>
      <w:r>
        <w:rPr>
          <w:lang w:eastAsia="zh-CN"/>
        </w:rPr>
        <w:t xml:space="preserve">; first, the portfolio is highly concentrated, and there are some months when one asset holds more than half of the portfolio. Second, the </w:t>
      </w:r>
      <w:r w:rsidR="007C52C1">
        <w:rPr>
          <w:lang w:eastAsia="zh-CN"/>
        </w:rPr>
        <w:t>holding</w:t>
      </w:r>
      <w:r>
        <w:rPr>
          <w:lang w:eastAsia="zh-CN"/>
        </w:rPr>
        <w:t xml:space="preserve"> is unstable; the colored </w:t>
      </w:r>
      <w:r w:rsidR="007C52C1">
        <w:rPr>
          <w:lang w:eastAsia="zh-CN"/>
        </w:rPr>
        <w:t>bands</w:t>
      </w:r>
      <w:r>
        <w:rPr>
          <w:lang w:eastAsia="zh-CN"/>
        </w:rPr>
        <w:t xml:space="preserve"> in the plot change almost every month. Additionally, in Appendix A2b, the situation for Crypto Max-Sharpe is more extreme; there are months when the plot only</w:t>
      </w:r>
      <w:r w:rsidR="007C52C1">
        <w:rPr>
          <w:lang w:eastAsia="zh-CN"/>
        </w:rPr>
        <w:t xml:space="preserve"> shows</w:t>
      </w:r>
      <w:r>
        <w:rPr>
          <w:lang w:eastAsia="zh-CN"/>
        </w:rPr>
        <w:t xml:space="preserve"> a single color, which indicates the portfolio</w:t>
      </w:r>
      <w:r w:rsidR="007C52C1">
        <w:rPr>
          <w:lang w:eastAsia="zh-CN"/>
        </w:rPr>
        <w:t xml:space="preserve"> only has</w:t>
      </w:r>
      <w:r>
        <w:rPr>
          <w:lang w:eastAsia="zh-CN"/>
        </w:rPr>
        <w:t xml:space="preserve"> </w:t>
      </w:r>
      <w:r w:rsidR="007C52C1">
        <w:rPr>
          <w:lang w:eastAsia="zh-CN"/>
        </w:rPr>
        <w:t xml:space="preserve">a </w:t>
      </w:r>
      <w:r>
        <w:rPr>
          <w:lang w:eastAsia="zh-CN"/>
        </w:rPr>
        <w:t xml:space="preserve">single </w:t>
      </w:r>
      <w:r w:rsidR="007C52C1">
        <w:rPr>
          <w:lang w:eastAsia="zh-CN"/>
        </w:rPr>
        <w:t>coin</w:t>
      </w:r>
      <w:r>
        <w:rPr>
          <w:lang w:eastAsia="zh-CN"/>
        </w:rPr>
        <w:t xml:space="preserve">, and the next month </w:t>
      </w:r>
      <w:r w:rsidR="007C52C1">
        <w:rPr>
          <w:lang w:eastAsia="zh-CN"/>
        </w:rPr>
        <w:t>it switches</w:t>
      </w:r>
      <w:r>
        <w:rPr>
          <w:lang w:eastAsia="zh-CN"/>
        </w:rPr>
        <w:t xml:space="preserve"> entirely to another </w:t>
      </w:r>
      <w:r w:rsidR="007C52C1">
        <w:rPr>
          <w:lang w:eastAsia="zh-CN"/>
        </w:rPr>
        <w:t>one</w:t>
      </w:r>
      <w:r>
        <w:rPr>
          <w:lang w:eastAsia="zh-CN"/>
        </w:rPr>
        <w:t>. The turnover of these two fund</w:t>
      </w:r>
      <w:r w:rsidR="007C52C1">
        <w:rPr>
          <w:lang w:eastAsia="zh-CN"/>
        </w:rPr>
        <w:t>s</w:t>
      </w:r>
      <w:r>
        <w:rPr>
          <w:lang w:eastAsia="zh-CN"/>
        </w:rPr>
        <w:t xml:space="preserve"> is relatively high</w:t>
      </w:r>
      <w:r w:rsidR="007C52C1">
        <w:rPr>
          <w:lang w:eastAsia="zh-CN"/>
        </w:rPr>
        <w:t>;</w:t>
      </w:r>
      <w:r>
        <w:rPr>
          <w:lang w:eastAsia="zh-CN"/>
        </w:rPr>
        <w:t xml:space="preserve"> the </w:t>
      </w:r>
      <w:r w:rsidR="007C52C1">
        <w:rPr>
          <w:lang w:eastAsia="zh-CN"/>
        </w:rPr>
        <w:t xml:space="preserve">performance in the sample is achieved by frequent rebalancing. The actual switching </w:t>
      </w:r>
      <w:r w:rsidR="007C52C1" w:rsidRPr="007C52C1">
        <w:rPr>
          <w:lang w:eastAsia="zh-CN"/>
        </w:rPr>
        <w:t xml:space="preserve">has real costs, which </w:t>
      </w:r>
      <w:r w:rsidR="007C52C1">
        <w:rPr>
          <w:lang w:eastAsia="zh-CN"/>
        </w:rPr>
        <w:t>will</w:t>
      </w:r>
      <w:r w:rsidR="007C52C1" w:rsidRPr="007C52C1">
        <w:rPr>
          <w:lang w:eastAsia="zh-CN"/>
        </w:rPr>
        <w:t xml:space="preserve"> be discussed in detail</w:t>
      </w:r>
      <w:r w:rsidR="007C52C1">
        <w:rPr>
          <w:lang w:eastAsia="zh-CN"/>
        </w:rPr>
        <w:t xml:space="preserve"> in Section 6.</w:t>
      </w:r>
    </w:p>
    <w:p w14:paraId="0C0251B5" w14:textId="033FEF95" w:rsidR="007C52C1" w:rsidRDefault="007C52C1">
      <w:pPr>
        <w:rPr>
          <w:lang w:eastAsia="zh-CN"/>
        </w:rPr>
      </w:pPr>
      <w:r>
        <w:rPr>
          <w:lang w:eastAsia="zh-CN"/>
        </w:rPr>
        <w:t xml:space="preserve">Each fund in the app </w:t>
      </w:r>
      <w:r w:rsidR="001F54B5">
        <w:rPr>
          <w:lang w:eastAsia="zh-CN"/>
        </w:rPr>
        <w:t xml:space="preserve">has a page of fact sheet, which converts the evidence into a form users can read. The fact sheet has four core metrics, a $1 growth chart and a drawdown chart, target weights for each rebalancing, and the current portfolio holding. For those funds with virtually unchanged weightings, the app omits the </w:t>
      </w:r>
      <w:r w:rsidR="000836B1">
        <w:rPr>
          <w:lang w:eastAsia="zh-CN"/>
        </w:rPr>
        <w:t xml:space="preserve">weight </w:t>
      </w:r>
      <w:r w:rsidR="001F54B5">
        <w:rPr>
          <w:lang w:eastAsia="zh-CN"/>
        </w:rPr>
        <w:t>chart and provides an accurate</w:t>
      </w:r>
      <w:r w:rsidR="000836B1">
        <w:rPr>
          <w:lang w:eastAsia="zh-CN"/>
        </w:rPr>
        <w:t>,</w:t>
      </w:r>
      <w:r w:rsidR="001F54B5">
        <w:rPr>
          <w:lang w:eastAsia="zh-CN"/>
        </w:rPr>
        <w:t xml:space="preserve"> simple explanation instead. The fact sheet also includes a construction section that answers the potential question or concern from </w:t>
      </w:r>
      <w:r w:rsidR="000836B1">
        <w:rPr>
          <w:lang w:eastAsia="zh-CN"/>
        </w:rPr>
        <w:t>users: is the fund simply a name, or is there a clear set of rules behind it? The professional mode shows the mathematical formula for those experienced investors, while Plain English mode illustrates the rules by using the fund’s own latest figures. For example, a Combined Equal-Weight fund states that each asset accounts for 100% divided by 60, which is 1.67%. Equity Max-Sharpe states that it currently holds only 7 out of 50 stocks. The sidebar also features a fixed section explaining how every fund is built, which introduces the construction process common to all funds. Each paragraph concludes with a reminder</w:t>
      </w:r>
      <w:r w:rsidR="000836B1">
        <w:rPr>
          <w:rFonts w:hint="eastAsia"/>
          <w:lang w:eastAsia="zh-CN"/>
        </w:rPr>
        <w:t>,</w:t>
      </w:r>
      <w:r w:rsidR="000836B1">
        <w:rPr>
          <w:lang w:eastAsia="zh-CN"/>
        </w:rPr>
        <w:t xml:space="preserve"> which is included to prevent mis</w:t>
      </w:r>
      <w:r w:rsidR="005644EA">
        <w:rPr>
          <w:lang w:eastAsia="zh-CN"/>
        </w:rPr>
        <w:t>understanding</w:t>
      </w:r>
      <w:r w:rsidR="000836B1">
        <w:rPr>
          <w:lang w:eastAsia="zh-CN"/>
        </w:rPr>
        <w:t xml:space="preserve">: This describes how the fund is constructed; it is not a promise of future results. </w:t>
      </w:r>
    </w:p>
    <w:p w14:paraId="409117F6" w14:textId="4874662B" w:rsidR="00C72875" w:rsidRDefault="00C72875">
      <w:pPr>
        <w:rPr>
          <w:lang w:eastAsia="zh-CN"/>
        </w:rPr>
      </w:pPr>
      <w:r>
        <w:rPr>
          <w:lang w:eastAsia="zh-CN"/>
        </w:rPr>
        <w:t>Figure 3 sorts the 13 funds by Sharpe ratio from highest to lowest; the top three are all crypto funds. Specific values are in Table 1</w:t>
      </w:r>
      <w:r w:rsidR="006C020F">
        <w:rPr>
          <w:lang w:eastAsia="zh-CN"/>
        </w:rPr>
        <w:t>. This ranking should be read together</w:t>
      </w:r>
      <w:r w:rsidR="006C020F">
        <w:rPr>
          <w:rFonts w:hint="eastAsia"/>
          <w:lang w:eastAsia="zh-CN"/>
        </w:rPr>
        <w:t xml:space="preserve"> </w:t>
      </w:r>
      <w:r w:rsidR="006C020F">
        <w:rPr>
          <w:lang w:eastAsia="zh-CN"/>
        </w:rPr>
        <w:t xml:space="preserve">with Figure 2: the rebound of crypto funds in 2023 pushed their Sharpe ratios to the top. This is the result for this sample; the rankings might be different in another </w:t>
      </w:r>
      <w:proofErr w:type="gramStart"/>
      <w:r w:rsidR="006C020F">
        <w:rPr>
          <w:lang w:eastAsia="zh-CN"/>
        </w:rPr>
        <w:t>time period</w:t>
      </w:r>
      <w:proofErr w:type="gramEnd"/>
      <w:r w:rsidR="006C020F">
        <w:rPr>
          <w:lang w:eastAsia="zh-CN"/>
        </w:rPr>
        <w:t>. This is also why each comparison table in the app always has a sentence indicating that the sorting only changes the order, not the quality of funds.</w:t>
      </w:r>
    </w:p>
    <w:p w14:paraId="7EE1D424" w14:textId="3E7C45DD" w:rsidR="005644EA" w:rsidRDefault="004A3995">
      <w:pPr>
        <w:rPr>
          <w:lang w:eastAsia="zh-CN"/>
        </w:rPr>
      </w:pPr>
      <w:r>
        <w:rPr>
          <w:lang w:eastAsia="zh-CN"/>
        </w:rPr>
        <w:t xml:space="preserve">Three conclusions could be drawn from these charts together. First, the extreme values are all concentrated in the crypto </w:t>
      </w:r>
      <w:r w:rsidR="00D113DB">
        <w:rPr>
          <w:lang w:eastAsia="zh-CN"/>
        </w:rPr>
        <w:t>family</w:t>
      </w:r>
      <w:r>
        <w:rPr>
          <w:lang w:eastAsia="zh-CN"/>
        </w:rPr>
        <w:t>, such as the highest return</w:t>
      </w:r>
      <w:r w:rsidR="00D113DB">
        <w:rPr>
          <w:rFonts w:hint="eastAsia"/>
          <w:lang w:eastAsia="zh-CN"/>
        </w:rPr>
        <w:t>s</w:t>
      </w:r>
      <w:r w:rsidR="00D113DB">
        <w:rPr>
          <w:lang w:eastAsia="zh-CN"/>
        </w:rPr>
        <w:t xml:space="preserve">, and within each group, the risk profiles of the four methods vary significantly. Second, adding cryptocurrencies helps all optimization methods but harms the Equal-Weight fund. Third, no single metric can rank all funds. The Crypto Min-Variance, with the highest Sharpe ratio, also has a maximum drawdown </w:t>
      </w:r>
      <w:r w:rsidR="00D113DB">
        <w:rPr>
          <w:lang w:eastAsia="zh-CN"/>
        </w:rPr>
        <w:lastRenderedPageBreak/>
        <w:t>of -71.1%, while the most stable fund in the mixed group, Combined Min-Variance, has the lowest return within its group, at only 6.7%. Which fund to choose depends on the investor, and the numbers provide supporting evidence to help investors make their own decisions.</w:t>
      </w:r>
    </w:p>
    <w:bookmarkEnd w:id="4"/>
    <w:p w14:paraId="24285F83" w14:textId="34806680" w:rsidR="00094FB7" w:rsidRPr="00B74F02" w:rsidRDefault="00000000">
      <w:pPr>
        <w:pStyle w:val="Heading1"/>
      </w:pPr>
      <w:r w:rsidRPr="00B74F02">
        <w:t>3. The news-sentiment index</w:t>
      </w:r>
    </w:p>
    <w:p w14:paraId="13B8F7BE" w14:textId="7D8B48A5" w:rsidR="006C020F" w:rsidRDefault="0081591F">
      <w:pPr>
        <w:rPr>
          <w:lang w:eastAsia="zh-CN"/>
        </w:rPr>
      </w:pPr>
      <w:r w:rsidRPr="0081591F">
        <w:rPr>
          <w:lang w:eastAsia="zh-CN"/>
        </w:rPr>
        <w:t xml:space="preserve">In addition to funds, </w:t>
      </w:r>
      <w:proofErr w:type="spellStart"/>
      <w:r w:rsidRPr="0081591F">
        <w:rPr>
          <w:lang w:eastAsia="zh-CN"/>
        </w:rPr>
        <w:t>HyperInvest</w:t>
      </w:r>
      <w:proofErr w:type="spellEnd"/>
      <w:r w:rsidRPr="0081591F">
        <w:rPr>
          <w:lang w:eastAsia="zh-CN"/>
        </w:rPr>
        <w:t xml:space="preserve"> also use</w:t>
      </w:r>
      <w:r>
        <w:rPr>
          <w:lang w:eastAsia="zh-CN"/>
        </w:rPr>
        <w:t>s</w:t>
      </w:r>
      <w:r w:rsidRPr="0081591F">
        <w:rPr>
          <w:lang w:eastAsia="zh-CN"/>
        </w:rPr>
        <w:t xml:space="preserve"> news data to create an independent analysis tool, the daily sector sentiment index for each of the ten stock industries. The raw material is 149,683 news headlines for 50 stocks from 2020 to 2023. Note that there </w:t>
      </w:r>
      <w:r w:rsidR="002E363F">
        <w:rPr>
          <w:lang w:eastAsia="zh-CN"/>
        </w:rPr>
        <w:t xml:space="preserve">are </w:t>
      </w:r>
      <w:r w:rsidRPr="0081591F">
        <w:rPr>
          <w:lang w:eastAsia="zh-CN"/>
        </w:rPr>
        <w:t>only</w:t>
      </w:r>
      <w:r w:rsidR="002E363F">
        <w:rPr>
          <w:lang w:eastAsia="zh-CN"/>
        </w:rPr>
        <w:t xml:space="preserve"> headlines</w:t>
      </w:r>
      <w:r w:rsidRPr="0081591F">
        <w:rPr>
          <w:lang w:eastAsia="zh-CN"/>
        </w:rPr>
        <w:t xml:space="preserve"> and no </w:t>
      </w:r>
      <w:r w:rsidR="002E363F">
        <w:rPr>
          <w:lang w:eastAsia="zh-CN"/>
        </w:rPr>
        <w:t xml:space="preserve">article </w:t>
      </w:r>
      <w:r w:rsidRPr="0081591F">
        <w:rPr>
          <w:lang w:eastAsia="zh-CN"/>
        </w:rPr>
        <w:t>text, so this index reads the wording of the title, not the</w:t>
      </w:r>
      <w:r w:rsidR="002E363F">
        <w:rPr>
          <w:lang w:eastAsia="zh-CN"/>
        </w:rPr>
        <w:t xml:space="preserve"> substance</w:t>
      </w:r>
      <w:r w:rsidRPr="0081591F">
        <w:rPr>
          <w:lang w:eastAsia="zh-CN"/>
        </w:rPr>
        <w:t xml:space="preserve"> of the news. Before modeling, a two-step cleaning process was performed. The first step is to remove duplicates and delete duplicate rows with the same </w:t>
      </w:r>
      <w:r w:rsidR="0031473D">
        <w:rPr>
          <w:lang w:eastAsia="zh-CN"/>
        </w:rPr>
        <w:t>ticker</w:t>
      </w:r>
      <w:r w:rsidRPr="0081591F">
        <w:rPr>
          <w:lang w:eastAsia="zh-CN"/>
        </w:rPr>
        <w:t>, date, and title, a total of 2</w:t>
      </w:r>
      <w:r w:rsidR="0031473D">
        <w:rPr>
          <w:lang w:eastAsia="zh-CN"/>
        </w:rPr>
        <w:t>,</w:t>
      </w:r>
      <w:r w:rsidRPr="0081591F">
        <w:rPr>
          <w:lang w:eastAsia="zh-CN"/>
        </w:rPr>
        <w:t>847 rows. The second step is to map each title to its trading day. If the day is a trading day, it will be counted as that day. Otherwise</w:t>
      </w:r>
      <w:r>
        <w:rPr>
          <w:lang w:eastAsia="zh-CN"/>
        </w:rPr>
        <w:t>,</w:t>
      </w:r>
      <w:r w:rsidRPr="0081591F">
        <w:rPr>
          <w:lang w:eastAsia="zh-CN"/>
        </w:rPr>
        <w:t xml:space="preserve"> it will be counted as the next trading day. The 6 titles after the last trading day could not be mapped to the next trading day and can only be discarded. After two steps, 146,83</w:t>
      </w:r>
      <w:r w:rsidR="009924EA">
        <w:rPr>
          <w:rFonts w:hint="eastAsia"/>
          <w:lang w:eastAsia="zh-CN"/>
        </w:rPr>
        <w:t>0</w:t>
      </w:r>
      <w:r w:rsidRPr="0081591F">
        <w:rPr>
          <w:lang w:eastAsia="zh-CN"/>
        </w:rPr>
        <w:t xml:space="preserve"> headlines were left to enter the model.</w:t>
      </w:r>
    </w:p>
    <w:p w14:paraId="1280374F" w14:textId="0750EDDC" w:rsidR="002E363F" w:rsidRDefault="002E363F">
      <w:pPr>
        <w:rPr>
          <w:lang w:eastAsia="zh-CN"/>
        </w:rPr>
      </w:pPr>
      <w:r>
        <w:rPr>
          <w:lang w:eastAsia="zh-CN"/>
        </w:rPr>
        <w:t>The model uses VADER</w:t>
      </w:r>
      <w:r w:rsidR="00216FD7">
        <w:rPr>
          <w:rFonts w:hint="eastAsia"/>
          <w:lang w:eastAsia="zh-CN"/>
        </w:rPr>
        <w:t xml:space="preserve"> </w:t>
      </w:r>
      <w:r w:rsidR="00216FD7">
        <w:rPr>
          <w:lang w:eastAsia="zh-CN"/>
        </w:rPr>
        <w:t>(</w:t>
      </w:r>
      <w:r w:rsidR="00216FD7" w:rsidRPr="00216FD7">
        <w:rPr>
          <w:lang w:eastAsia="zh-CN"/>
        </w:rPr>
        <w:t>Hutto and Gilbert, 2014</w:t>
      </w:r>
      <w:r w:rsidR="00216FD7">
        <w:rPr>
          <w:lang w:eastAsia="zh-CN"/>
        </w:rPr>
        <w:t>)</w:t>
      </w:r>
      <w:r>
        <w:rPr>
          <w:lang w:eastAsia="zh-CN"/>
        </w:rPr>
        <w:t>, which is a rule-based sentiment scoring tool, and there is also a</w:t>
      </w:r>
      <w:r w:rsidR="00CA619F">
        <w:rPr>
          <w:lang w:eastAsia="zh-CN"/>
        </w:rPr>
        <w:t>n</w:t>
      </w:r>
      <w:r>
        <w:rPr>
          <w:lang w:eastAsia="zh-CN"/>
        </w:rPr>
        <w:t xml:space="preserve"> extra financial di</w:t>
      </w:r>
      <w:r w:rsidR="00CA619F">
        <w:rPr>
          <w:lang w:eastAsia="zh-CN"/>
        </w:rPr>
        <w:t>c</w:t>
      </w:r>
      <w:r>
        <w:rPr>
          <w:lang w:eastAsia="zh-CN"/>
        </w:rPr>
        <w:t xml:space="preserve">tionary in </w:t>
      </w:r>
      <w:proofErr w:type="spellStart"/>
      <w:r>
        <w:rPr>
          <w:lang w:eastAsia="zh-CN"/>
        </w:rPr>
        <w:t>HyperInvest</w:t>
      </w:r>
      <w:proofErr w:type="spellEnd"/>
      <w:r>
        <w:rPr>
          <w:lang w:eastAsia="zh-CN"/>
        </w:rPr>
        <w:t>, totaling 115 words. The reason is that the original VADER vocabulary comes from social media, and it doesn’t include many financial terms</w:t>
      </w:r>
      <w:r w:rsidR="00CA619F">
        <w:rPr>
          <w:lang w:eastAsia="zh-CN"/>
        </w:rPr>
        <w:t>;</w:t>
      </w:r>
      <w:r>
        <w:rPr>
          <w:lang w:eastAsia="zh-CN"/>
        </w:rPr>
        <w:t xml:space="preserve"> there were 4,000 headlines, and 48.5% scored zero in </w:t>
      </w:r>
      <w:r w:rsidR="00CA619F">
        <w:rPr>
          <w:lang w:eastAsia="zh-CN"/>
        </w:rPr>
        <w:t xml:space="preserve">the </w:t>
      </w:r>
      <w:r>
        <w:rPr>
          <w:lang w:eastAsia="zh-CN"/>
        </w:rPr>
        <w:t>original VADER. A zero score does not mean the news article lacks information. For example, words like “beat”</w:t>
      </w:r>
      <w:r w:rsidR="00CA619F">
        <w:rPr>
          <w:lang w:eastAsia="zh-CN"/>
        </w:rPr>
        <w:t xml:space="preserve"> and</w:t>
      </w:r>
      <w:r>
        <w:rPr>
          <w:lang w:eastAsia="zh-CN"/>
        </w:rPr>
        <w:t xml:space="preserve"> “downgrade” have clear meaning in financial news, but they do not get a score in a general dictionary. The dictionary in </w:t>
      </w:r>
      <w:proofErr w:type="spellStart"/>
      <w:r>
        <w:rPr>
          <w:lang w:eastAsia="zh-CN"/>
        </w:rPr>
        <w:t>HyperInvest</w:t>
      </w:r>
      <w:proofErr w:type="spellEnd"/>
      <w:r>
        <w:rPr>
          <w:lang w:eastAsia="zh-CN"/>
        </w:rPr>
        <w:t xml:space="preserve"> assigns these words scores according to VADER’s conventions, </w:t>
      </w:r>
      <w:r w:rsidR="00CA619F">
        <w:rPr>
          <w:rFonts w:hint="eastAsia"/>
          <w:lang w:eastAsia="zh-CN"/>
        </w:rPr>
        <w:t xml:space="preserve">ranging </w:t>
      </w:r>
      <w:r>
        <w:rPr>
          <w:lang w:eastAsia="zh-CN"/>
        </w:rPr>
        <w:t xml:space="preserve">from -4 to +4, with the sign indicating </w:t>
      </w:r>
      <w:r w:rsidR="00CA619F">
        <w:rPr>
          <w:rFonts w:hint="eastAsia"/>
          <w:lang w:eastAsia="zh-CN"/>
        </w:rPr>
        <w:t xml:space="preserve">the </w:t>
      </w:r>
      <w:r>
        <w:rPr>
          <w:lang w:eastAsia="zh-CN"/>
        </w:rPr>
        <w:t xml:space="preserve">direction and the absolute value indicating intensity. Every word in the dictionary was manually checked </w:t>
      </w:r>
      <w:r w:rsidR="00CA619F">
        <w:rPr>
          <w:lang w:eastAsia="zh-CN"/>
        </w:rPr>
        <w:t>because AI-suggested dictionaries can make mistakes, such as marking neutral terms like “liability” and “debt” as negative. When scoring, the headlines are left as is, without cleaning for capitalization or punctuation; negat</w:t>
      </w:r>
      <w:r w:rsidR="00536C5F">
        <w:rPr>
          <w:lang w:eastAsia="zh-CN"/>
        </w:rPr>
        <w:t>ion</w:t>
      </w:r>
      <w:r w:rsidR="00CA619F">
        <w:rPr>
          <w:lang w:eastAsia="zh-CN"/>
        </w:rPr>
        <w:t xml:space="preserve"> words are al</w:t>
      </w:r>
      <w:r w:rsidR="00536C5F">
        <w:rPr>
          <w:lang w:eastAsia="zh-CN"/>
        </w:rPr>
        <w:t>so</w:t>
      </w:r>
      <w:r w:rsidR="00CA619F">
        <w:rPr>
          <w:lang w:eastAsia="zh-CN"/>
        </w:rPr>
        <w:t xml:space="preserve"> part of VADER’s rules: cleaning them would lose information.</w:t>
      </w:r>
    </w:p>
    <w:p w14:paraId="5ABFFB7C" w14:textId="77777777" w:rsidR="00B74F02" w:rsidRDefault="00536C5F">
      <w:pPr>
        <w:rPr>
          <w:lang w:eastAsia="zh-CN"/>
        </w:rPr>
      </w:pPr>
      <w:r>
        <w:rPr>
          <w:lang w:eastAsia="zh-CN"/>
        </w:rPr>
        <w:t xml:space="preserve">The process from headline score to </w:t>
      </w:r>
      <w:r w:rsidR="00B74F02">
        <w:rPr>
          <w:lang w:eastAsia="zh-CN"/>
        </w:rPr>
        <w:t xml:space="preserve">industry index involves five steps. </w:t>
      </w:r>
    </w:p>
    <w:p w14:paraId="1AC81260" w14:textId="77777777" w:rsidR="00B74F02" w:rsidRDefault="00B74F02" w:rsidP="00B74F02">
      <w:pPr>
        <w:pStyle w:val="ListParagraph"/>
        <w:numPr>
          <w:ilvl w:val="0"/>
          <w:numId w:val="12"/>
        </w:numPr>
        <w:rPr>
          <w:lang w:eastAsia="zh-CN"/>
        </w:rPr>
      </w:pPr>
      <w:r>
        <w:rPr>
          <w:lang w:eastAsia="zh-CN"/>
        </w:rPr>
        <w:t xml:space="preserve">First, the headline scores for the same stock on the same day are averaged to obtain a daily score for each stock. </w:t>
      </w:r>
    </w:p>
    <w:p w14:paraId="28583789" w14:textId="77777777" w:rsidR="00B74F02" w:rsidRDefault="00B74F02" w:rsidP="00B74F02">
      <w:pPr>
        <w:pStyle w:val="ListParagraph"/>
        <w:numPr>
          <w:ilvl w:val="0"/>
          <w:numId w:val="12"/>
        </w:numPr>
        <w:rPr>
          <w:lang w:eastAsia="zh-CN"/>
        </w:rPr>
      </w:pPr>
      <w:r>
        <w:rPr>
          <w:lang w:eastAsia="zh-CN"/>
        </w:rPr>
        <w:t xml:space="preserve">Second, a 5-day exponential moving average (EMA) is applied to the daily scores to suppress spikes caused by individual headlines. </w:t>
      </w:r>
    </w:p>
    <w:p w14:paraId="06E685FD" w14:textId="72715EA2" w:rsidR="00536C5F" w:rsidRDefault="00B74F02" w:rsidP="00B74F02">
      <w:pPr>
        <w:pStyle w:val="ListParagraph"/>
        <w:numPr>
          <w:ilvl w:val="0"/>
          <w:numId w:val="12"/>
        </w:numPr>
        <w:rPr>
          <w:lang w:eastAsia="zh-CN"/>
        </w:rPr>
      </w:pPr>
      <w:r>
        <w:rPr>
          <w:lang w:eastAsia="zh-CN"/>
        </w:rPr>
        <w:t xml:space="preserve">Third, the scores of all stocks within the same industry are equally weighted to obtain the industry index. The reason for using an industry </w:t>
      </w:r>
      <w:r w:rsidR="00E21337">
        <w:rPr>
          <w:lang w:eastAsia="zh-CN"/>
        </w:rPr>
        <w:t>rather</w:t>
      </w:r>
      <w:r>
        <w:rPr>
          <w:lang w:eastAsia="zh-CN"/>
        </w:rPr>
        <w:t xml:space="preserve"> </w:t>
      </w:r>
      <w:r w:rsidR="00E21337">
        <w:rPr>
          <w:lang w:eastAsia="zh-CN"/>
        </w:rPr>
        <w:t>than</w:t>
      </w:r>
      <w:r>
        <w:rPr>
          <w:lang w:eastAsia="zh-CN"/>
        </w:rPr>
        <w:t xml:space="preserve"> individual stocks is that </w:t>
      </w:r>
      <w:r w:rsidR="00E21337">
        <w:rPr>
          <w:lang w:eastAsia="zh-CN"/>
        </w:rPr>
        <w:t>a single stock</w:t>
      </w:r>
      <w:r>
        <w:rPr>
          <w:lang w:eastAsia="zh-CN"/>
        </w:rPr>
        <w:t xml:space="preserve"> has news </w:t>
      </w:r>
      <w:r w:rsidR="00E21337">
        <w:rPr>
          <w:lang w:eastAsia="zh-CN"/>
        </w:rPr>
        <w:t xml:space="preserve">only </w:t>
      </w:r>
      <w:r>
        <w:rPr>
          <w:lang w:eastAsia="zh-CN"/>
        </w:rPr>
        <w:t>on about 70% of trading days; combining five stocks in an industry significantly reduces gaps in news coverage.</w:t>
      </w:r>
    </w:p>
    <w:p w14:paraId="49F5F6C5" w14:textId="0DC59B6C" w:rsidR="00B74F02" w:rsidRDefault="004C455B" w:rsidP="00B74F02">
      <w:pPr>
        <w:pStyle w:val="ListParagraph"/>
        <w:numPr>
          <w:ilvl w:val="0"/>
          <w:numId w:val="12"/>
        </w:numPr>
        <w:rPr>
          <w:lang w:eastAsia="zh-CN"/>
        </w:rPr>
      </w:pPr>
      <w:r>
        <w:rPr>
          <w:lang w:eastAsia="zh-CN"/>
        </w:rPr>
        <w:t>Fourth, on days without news, the previous day’s score is used, up to a maximum of 10 trading days; after that, the score reverts to zero.</w:t>
      </w:r>
    </w:p>
    <w:p w14:paraId="55224C7E" w14:textId="1C74B480" w:rsidR="004C455B" w:rsidRPr="0081591F" w:rsidRDefault="004C455B" w:rsidP="00B74F02">
      <w:pPr>
        <w:pStyle w:val="ListParagraph"/>
        <w:numPr>
          <w:ilvl w:val="0"/>
          <w:numId w:val="12"/>
        </w:numPr>
        <w:rPr>
          <w:lang w:eastAsia="zh-CN"/>
        </w:rPr>
      </w:pPr>
      <w:r>
        <w:rPr>
          <w:lang w:eastAsia="zh-CN"/>
        </w:rPr>
        <w:lastRenderedPageBreak/>
        <w:t>Fifth, the entire index is lagged by one trading day</w:t>
      </w:r>
      <w:r w:rsidR="00E21337">
        <w:rPr>
          <w:lang w:eastAsia="zh-CN"/>
        </w:rPr>
        <w:t>;</w:t>
      </w:r>
      <w:r>
        <w:rPr>
          <w:lang w:eastAsia="zh-CN"/>
        </w:rPr>
        <w:t xml:space="preserve"> the value displayed on day t only </w:t>
      </w:r>
      <w:r w:rsidR="000126AD">
        <w:rPr>
          <w:lang w:eastAsia="zh-CN"/>
        </w:rPr>
        <w:t>uses</w:t>
      </w:r>
      <w:r>
        <w:rPr>
          <w:rFonts w:hint="eastAsia"/>
          <w:lang w:eastAsia="zh-CN"/>
        </w:rPr>
        <w:t xml:space="preserve"> </w:t>
      </w:r>
      <w:r>
        <w:rPr>
          <w:lang w:eastAsia="zh-CN"/>
        </w:rPr>
        <w:t xml:space="preserve">information </w:t>
      </w:r>
      <w:r w:rsidR="000126AD">
        <w:rPr>
          <w:lang w:eastAsia="zh-CN"/>
        </w:rPr>
        <w:t>available up to</w:t>
      </w:r>
      <w:r>
        <w:rPr>
          <w:lang w:eastAsia="zh-CN"/>
        </w:rPr>
        <w:t xml:space="preserve"> t-1,</w:t>
      </w:r>
      <w:r w:rsidR="00E21337">
        <w:rPr>
          <w:lang w:eastAsia="zh-CN"/>
        </w:rPr>
        <w:t xml:space="preserve"> so no </w:t>
      </w:r>
      <w:r>
        <w:rPr>
          <w:lang w:eastAsia="zh-CN"/>
        </w:rPr>
        <w:t xml:space="preserve">future sentiment </w:t>
      </w:r>
      <w:r w:rsidR="00E21337">
        <w:rPr>
          <w:lang w:eastAsia="zh-CN"/>
        </w:rPr>
        <w:t>leaks</w:t>
      </w:r>
      <w:r>
        <w:rPr>
          <w:lang w:eastAsia="zh-CN"/>
        </w:rPr>
        <w:t xml:space="preserve"> in</w:t>
      </w:r>
      <w:r w:rsidR="00E21337">
        <w:rPr>
          <w:lang w:eastAsia="zh-CN"/>
        </w:rPr>
        <w:t>to</w:t>
      </w:r>
      <w:r>
        <w:rPr>
          <w:lang w:eastAsia="zh-CN"/>
        </w:rPr>
        <w:t xml:space="preserve"> the current day's reading.</w:t>
      </w:r>
    </w:p>
    <w:p w14:paraId="545344F2" w14:textId="77777777" w:rsidR="00094FB7" w:rsidRPr="00840B21" w:rsidRDefault="00000000">
      <w:pPr>
        <w:jc w:val="center"/>
        <w:rPr>
          <w:highlight w:val="yellow"/>
        </w:rPr>
      </w:pPr>
      <w:r w:rsidRPr="00840B21">
        <w:rPr>
          <w:noProof/>
          <w:highlight w:val="yellow"/>
        </w:rPr>
        <w:drawing>
          <wp:inline distT="0" distB="0" distL="0" distR="0" wp14:anchorId="3E6AE1DB" wp14:editId="256755AB">
            <wp:extent cx="5486400" cy="1950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or_sentiment_index.png"/>
                    <pic:cNvPicPr/>
                  </pic:nvPicPr>
                  <pic:blipFill>
                    <a:blip r:embed="rId10"/>
                    <a:stretch>
                      <a:fillRect/>
                    </a:stretch>
                  </pic:blipFill>
                  <pic:spPr>
                    <a:xfrm>
                      <a:off x="0" y="0"/>
                      <a:ext cx="5486400" cy="1950720"/>
                    </a:xfrm>
                    <a:prstGeom prst="rect">
                      <a:avLst/>
                    </a:prstGeom>
                  </pic:spPr>
                </pic:pic>
              </a:graphicData>
            </a:graphic>
          </wp:inline>
        </w:drawing>
      </w:r>
    </w:p>
    <w:p w14:paraId="1988DEA5" w14:textId="1F4EE8A1" w:rsidR="00094FB7" w:rsidRPr="00B74F02" w:rsidRDefault="00536C5F">
      <w:pPr>
        <w:pStyle w:val="Caption"/>
        <w:jc w:val="center"/>
      </w:pPr>
      <w:r w:rsidRPr="00B74F02">
        <w:rPr>
          <w:color w:val="990F3D"/>
          <w:lang w:eastAsia="zh-CN"/>
        </w:rPr>
        <w:t>Figure</w:t>
      </w:r>
      <w:r w:rsidRPr="00B74F02">
        <w:rPr>
          <w:rFonts w:hint="eastAsia"/>
          <w:color w:val="990F3D"/>
          <w:lang w:eastAsia="zh-CN"/>
        </w:rPr>
        <w:t xml:space="preserve"> </w:t>
      </w:r>
      <w:r w:rsidRPr="00B74F02">
        <w:rPr>
          <w:color w:val="990F3D"/>
        </w:rPr>
        <w:t xml:space="preserve">4 — </w:t>
      </w:r>
      <w:r w:rsidRPr="00B74F02">
        <w:rPr>
          <w:color w:val="6B625C"/>
        </w:rPr>
        <w:t>Sector news-sentiment index over time, one panel per sector on a shared scale (VADER + finance dictionary, lagged one trading day), 2020–2023.</w:t>
      </w:r>
    </w:p>
    <w:p w14:paraId="5D0F74C0" w14:textId="77777777" w:rsidR="001B4CA5" w:rsidRDefault="000126AD">
      <w:pPr>
        <w:rPr>
          <w:lang w:eastAsia="zh-CN"/>
        </w:rPr>
      </w:pPr>
      <w:r w:rsidRPr="000126AD">
        <w:rPr>
          <w:rFonts w:hint="eastAsia"/>
          <w:lang w:eastAsia="zh-CN"/>
        </w:rPr>
        <w:t xml:space="preserve">Figure 4 above </w:t>
      </w:r>
      <w:r w:rsidR="009F0BD4">
        <w:rPr>
          <w:lang w:eastAsia="zh-CN"/>
        </w:rPr>
        <w:t xml:space="preserve">shows </w:t>
      </w:r>
      <w:r w:rsidR="001B4CA5">
        <w:rPr>
          <w:lang w:eastAsia="zh-CN"/>
        </w:rPr>
        <w:t xml:space="preserve">the index for ten sectors; </w:t>
      </w:r>
      <w:r>
        <w:rPr>
          <w:rFonts w:hint="eastAsia"/>
          <w:lang w:eastAsia="zh-CN"/>
        </w:rPr>
        <w:t xml:space="preserve">the ten industry lines are mostly above zero, which means that </w:t>
      </w:r>
      <w:r w:rsidR="009F0BD4">
        <w:rPr>
          <w:lang w:eastAsia="zh-CN"/>
        </w:rPr>
        <w:t>headline</w:t>
      </w:r>
      <w:r>
        <w:rPr>
          <w:rFonts w:hint="eastAsia"/>
          <w:lang w:eastAsia="zh-CN"/>
        </w:rPr>
        <w:t xml:space="preserve"> wording in this data is positive</w:t>
      </w:r>
      <w:r w:rsidR="009F0BD4">
        <w:rPr>
          <w:lang w:eastAsia="zh-CN"/>
        </w:rPr>
        <w:t xml:space="preserve"> most of the time</w:t>
      </w:r>
      <w:r>
        <w:rPr>
          <w:rFonts w:hint="eastAsia"/>
          <w:lang w:eastAsia="zh-CN"/>
        </w:rPr>
        <w:t xml:space="preserve">; zero is not a neutral reference point. Therefore, the application also includes a standardized view, comparing each industry with its own historical average and fluctuation range. Standardization allows </w:t>
      </w:r>
      <w:r w:rsidR="001B4CA5">
        <w:rPr>
          <w:lang w:eastAsia="zh-CN"/>
        </w:rPr>
        <w:t>those truly panicked days to emerge from the mild and positive underlying noise.</w:t>
      </w:r>
    </w:p>
    <w:p w14:paraId="48D374FB" w14:textId="39809643" w:rsidR="00901AA3" w:rsidRDefault="00901AA3">
      <w:pPr>
        <w:rPr>
          <w:lang w:eastAsia="zh-CN"/>
        </w:rPr>
      </w:pPr>
      <w:r>
        <w:rPr>
          <w:lang w:eastAsia="zh-CN"/>
        </w:rPr>
        <w:t xml:space="preserve">This index is </w:t>
      </w:r>
      <w:r w:rsidR="001B4CA5">
        <w:rPr>
          <w:lang w:eastAsia="zh-CN"/>
        </w:rPr>
        <w:t>validated</w:t>
      </w:r>
      <w:r>
        <w:rPr>
          <w:lang w:eastAsia="zh-CN"/>
        </w:rPr>
        <w:t xml:space="preserve">; the same batch of headlines was re-scored using the </w:t>
      </w:r>
      <w:proofErr w:type="spellStart"/>
      <w:r>
        <w:rPr>
          <w:lang w:eastAsia="zh-CN"/>
        </w:rPr>
        <w:t>finVADER</w:t>
      </w:r>
      <w:proofErr w:type="spellEnd"/>
      <w:r>
        <w:rPr>
          <w:lang w:eastAsia="zh-CN"/>
        </w:rPr>
        <w:t xml:space="preserve"> benchmark provided in the course. This uses VADER plus two ready-made financial dictionaries,</w:t>
      </w:r>
      <w:r w:rsidR="001B4CA5">
        <w:rPr>
          <w:lang w:eastAsia="zh-CN"/>
        </w:rPr>
        <w:t xml:space="preserve"> the </w:t>
      </w:r>
      <w:proofErr w:type="spellStart"/>
      <w:r w:rsidR="001B4CA5">
        <w:rPr>
          <w:lang w:eastAsia="zh-CN"/>
        </w:rPr>
        <w:t>SentiBigNomics</w:t>
      </w:r>
      <w:proofErr w:type="spellEnd"/>
      <w:r w:rsidR="001B4CA5">
        <w:rPr>
          <w:lang w:eastAsia="zh-CN"/>
        </w:rPr>
        <w:t xml:space="preserve"> lexicon</w:t>
      </w:r>
      <w:r w:rsidR="00216FD7">
        <w:rPr>
          <w:rFonts w:hint="eastAsia"/>
          <w:lang w:eastAsia="zh-CN"/>
        </w:rPr>
        <w:t xml:space="preserve"> </w:t>
      </w:r>
      <w:r w:rsidR="00216FD7">
        <w:rPr>
          <w:lang w:eastAsia="zh-CN"/>
        </w:rPr>
        <w:t>(</w:t>
      </w:r>
      <w:r w:rsidR="00216FD7" w:rsidRPr="00216FD7">
        <w:rPr>
          <w:lang w:eastAsia="zh-CN"/>
        </w:rPr>
        <w:t>Consoli, Barbaglia and Manzan, 2021</w:t>
      </w:r>
      <w:r w:rsidR="00216FD7">
        <w:rPr>
          <w:lang w:eastAsia="zh-CN"/>
        </w:rPr>
        <w:t>)</w:t>
      </w:r>
      <w:r w:rsidR="001B4CA5">
        <w:rPr>
          <w:lang w:eastAsia="zh-CN"/>
        </w:rPr>
        <w:t xml:space="preserve"> and Henry’s financial word list</w:t>
      </w:r>
      <w:r w:rsidR="00E47B4C">
        <w:rPr>
          <w:rFonts w:hint="eastAsia"/>
          <w:lang w:eastAsia="zh-CN"/>
        </w:rPr>
        <w:t xml:space="preserve"> </w:t>
      </w:r>
      <w:r w:rsidR="00E47B4C">
        <w:rPr>
          <w:lang w:eastAsia="zh-CN"/>
        </w:rPr>
        <w:t>(He</w:t>
      </w:r>
      <w:r w:rsidR="007D776B">
        <w:rPr>
          <w:rFonts w:hint="eastAsia"/>
          <w:lang w:eastAsia="zh-CN"/>
        </w:rPr>
        <w:t>n</w:t>
      </w:r>
      <w:r w:rsidR="00E47B4C">
        <w:rPr>
          <w:lang w:eastAsia="zh-CN"/>
        </w:rPr>
        <w:t>ry, 2008)</w:t>
      </w:r>
      <w:r w:rsidR="001B4CA5">
        <w:rPr>
          <w:lang w:eastAsia="zh-CN"/>
        </w:rPr>
        <w:t>,</w:t>
      </w:r>
      <w:r>
        <w:rPr>
          <w:lang w:eastAsia="zh-CN"/>
        </w:rPr>
        <w:t xml:space="preserve"> independent of </w:t>
      </w:r>
      <w:r w:rsidR="001B4CA5">
        <w:rPr>
          <w:lang w:eastAsia="zh-CN"/>
        </w:rPr>
        <w:t>the</w:t>
      </w:r>
      <w:r>
        <w:rPr>
          <w:lang w:eastAsia="zh-CN"/>
        </w:rPr>
        <w:t xml:space="preserve"> custom dictionary</w:t>
      </w:r>
      <w:r w:rsidR="001B4CA5">
        <w:rPr>
          <w:lang w:eastAsia="zh-CN"/>
        </w:rPr>
        <w:t xml:space="preserve"> in </w:t>
      </w:r>
      <w:proofErr w:type="spellStart"/>
      <w:r w:rsidR="001B4CA5">
        <w:rPr>
          <w:lang w:eastAsia="zh-CN"/>
        </w:rPr>
        <w:t>HyperInvest</w:t>
      </w:r>
      <w:proofErr w:type="spellEnd"/>
      <w:r>
        <w:rPr>
          <w:lang w:eastAsia="zh-CN"/>
        </w:rPr>
        <w:t xml:space="preserve">. The two indices follow the exact same pipeline, so the differences only come from the dictionaries. Appendix A3 </w:t>
      </w:r>
      <w:r w:rsidR="009F0BD4">
        <w:rPr>
          <w:lang w:eastAsia="zh-CN"/>
        </w:rPr>
        <w:t xml:space="preserve">presents results indicating that both indices are positively correlated in each industry, with the lowest correlation coefficient of 0.48 for </w:t>
      </w:r>
      <w:proofErr w:type="spellStart"/>
      <w:r w:rsidR="009F0BD4">
        <w:rPr>
          <w:lang w:eastAsia="zh-CN"/>
        </w:rPr>
        <w:t>RealEstate</w:t>
      </w:r>
      <w:proofErr w:type="spellEnd"/>
      <w:r>
        <w:rPr>
          <w:lang w:eastAsia="zh-CN"/>
        </w:rPr>
        <w:t xml:space="preserve"> and the highest of 0.69 for Energy. The fact that two independent dictionaries calculate indices in the same direction indicates that</w:t>
      </w:r>
      <w:r w:rsidR="001B4CA5">
        <w:rPr>
          <w:lang w:eastAsia="zh-CN"/>
        </w:rPr>
        <w:t xml:space="preserve"> the index</w:t>
      </w:r>
      <w:r>
        <w:rPr>
          <w:lang w:eastAsia="zh-CN"/>
        </w:rPr>
        <w:t xml:space="preserve"> tracks real signals. Meanwhile, the correlation is only moderate, indicating that the specific magnitude will vary depending on the dictionary, and downstream users should expect this level of noise.</w:t>
      </w:r>
    </w:p>
    <w:p w14:paraId="32D2D414" w14:textId="0AC6D20F" w:rsidR="00901AA3" w:rsidRDefault="00DB6B36">
      <w:pPr>
        <w:rPr>
          <w:lang w:eastAsia="zh-CN"/>
        </w:rPr>
      </w:pPr>
      <w:r>
        <w:rPr>
          <w:lang w:eastAsia="zh-CN"/>
        </w:rPr>
        <w:t>The validation also revealed two weaknesses in the model:</w:t>
      </w:r>
    </w:p>
    <w:p w14:paraId="146FE49E" w14:textId="5193DE40" w:rsidR="00DB6B36" w:rsidRDefault="00DB6B36" w:rsidP="00DB6B36">
      <w:pPr>
        <w:pStyle w:val="ListParagraph"/>
        <w:numPr>
          <w:ilvl w:val="0"/>
          <w:numId w:val="13"/>
        </w:numPr>
        <w:rPr>
          <w:lang w:eastAsia="zh-CN"/>
        </w:rPr>
      </w:pPr>
      <w:r>
        <w:rPr>
          <w:lang w:eastAsia="zh-CN"/>
        </w:rPr>
        <w:t>First, the handling of negation in concession clauses is flawed</w:t>
      </w:r>
      <w:r w:rsidR="00275812">
        <w:rPr>
          <w:lang w:eastAsia="zh-CN"/>
        </w:rPr>
        <w:t>.</w:t>
      </w:r>
      <w:r>
        <w:rPr>
          <w:lang w:eastAsia="zh-CN"/>
        </w:rPr>
        <w:t xml:space="preserve"> Specif</w:t>
      </w:r>
      <w:r w:rsidR="00275812">
        <w:rPr>
          <w:lang w:eastAsia="zh-CN"/>
        </w:rPr>
        <w:t>ic</w:t>
      </w:r>
      <w:r>
        <w:rPr>
          <w:lang w:eastAsia="zh-CN"/>
        </w:rPr>
        <w:t>ally, in headlines like “Despite w</w:t>
      </w:r>
      <w:r w:rsidR="00275812">
        <w:rPr>
          <w:lang w:eastAsia="zh-CN"/>
        </w:rPr>
        <w:t>eak prices, a company is still expanding”, the negative information following despite is reversed by the rule engine.</w:t>
      </w:r>
    </w:p>
    <w:p w14:paraId="69EE0550" w14:textId="77777777" w:rsidR="00275812" w:rsidRDefault="00275812" w:rsidP="00275812">
      <w:pPr>
        <w:pStyle w:val="ListParagraph"/>
        <w:numPr>
          <w:ilvl w:val="0"/>
          <w:numId w:val="13"/>
        </w:numPr>
        <w:rPr>
          <w:lang w:eastAsia="zh-CN"/>
        </w:rPr>
      </w:pPr>
      <w:r>
        <w:rPr>
          <w:lang w:eastAsia="zh-CN"/>
        </w:rPr>
        <w:t xml:space="preserve">Second, words like “buy” and “dividend” in promotional headlines can inflate the score, even though these headlines are essentially marketing, not news. </w:t>
      </w:r>
    </w:p>
    <w:p w14:paraId="7A6AE07F" w14:textId="3996D173" w:rsidR="00275812" w:rsidRDefault="00275812" w:rsidP="00275812">
      <w:pPr>
        <w:rPr>
          <w:lang w:eastAsia="zh-CN"/>
        </w:rPr>
      </w:pPr>
      <w:r>
        <w:rPr>
          <w:lang w:eastAsia="zh-CN"/>
        </w:rPr>
        <w:lastRenderedPageBreak/>
        <w:t>Therefore, the index’s purpose needs to be clearly stated: it’s useful, validated, but contains noise. Every sentiment page in the application consistently displays the same sentence to tell users that it describes a news tone, not a buy or sell signal.</w:t>
      </w:r>
    </w:p>
    <w:p w14:paraId="7F2E54B4" w14:textId="4939166E" w:rsidR="00275812" w:rsidRDefault="00275812" w:rsidP="00275812">
      <w:pPr>
        <w:rPr>
          <w:lang w:eastAsia="zh-CN"/>
        </w:rPr>
      </w:pPr>
      <w:r>
        <w:rPr>
          <w:lang w:eastAsia="zh-CN"/>
        </w:rPr>
        <w:t>There are explanations for two parameters because they are choices, not defaults.</w:t>
      </w:r>
      <w:r w:rsidR="004E768B">
        <w:rPr>
          <w:lang w:eastAsia="zh-CN"/>
        </w:rPr>
        <w:t xml:space="preserve"> 5-day smoothing corresponds to a work week; spikes caused by single headlines subside within a few days, and averaging on a weekly scale preserves the true news cycle while suppressing daily noise. Days without news reuse the previous reading</w:t>
      </w:r>
      <w:r w:rsidR="00F31E73">
        <w:rPr>
          <w:rFonts w:hint="eastAsia"/>
          <w:lang w:eastAsia="zh-CN"/>
        </w:rPr>
        <w:t>.</w:t>
      </w:r>
      <w:r w:rsidR="004E768B">
        <w:rPr>
          <w:lang w:eastAsia="zh-CN"/>
        </w:rPr>
        <w:t xml:space="preserve"> The</w:t>
      </w:r>
      <w:r w:rsidR="004E768B">
        <w:rPr>
          <w:rFonts w:hint="eastAsia"/>
          <w:lang w:eastAsia="zh-CN"/>
        </w:rPr>
        <w:t xml:space="preserve"> </w:t>
      </w:r>
      <w:r w:rsidR="004E768B">
        <w:rPr>
          <w:lang w:eastAsia="zh-CN"/>
        </w:rPr>
        <w:t>carry-forward</w:t>
      </w:r>
      <w:r w:rsidR="004E768B">
        <w:rPr>
          <w:rFonts w:hint="eastAsia"/>
          <w:lang w:eastAsia="zh-CN"/>
        </w:rPr>
        <w:t xml:space="preserve"> </w:t>
      </w:r>
      <w:r w:rsidR="004E768B">
        <w:rPr>
          <w:lang w:eastAsia="zh-CN"/>
        </w:rPr>
        <w:t xml:space="preserve">limit is set at 10 trading days based on the assumption that information becomes outdated: readings from two weeks ago might still describe the news environment of an industry, but beyond that they </w:t>
      </w:r>
      <w:r w:rsidR="000526C1">
        <w:rPr>
          <w:lang w:eastAsia="zh-CN"/>
        </w:rPr>
        <w:t>go stale</w:t>
      </w:r>
      <w:r w:rsidR="004E768B">
        <w:rPr>
          <w:lang w:eastAsia="zh-CN"/>
        </w:rPr>
        <w:t>. Therefore, readings older than two weeks without news are treated as neutral, avoiding the use of outdated readings.</w:t>
      </w:r>
    </w:p>
    <w:p w14:paraId="1C8467F9" w14:textId="6F183EA3" w:rsidR="004E768B" w:rsidRPr="000126AD" w:rsidRDefault="004E768B" w:rsidP="00275812">
      <w:pPr>
        <w:rPr>
          <w:lang w:eastAsia="zh-CN"/>
        </w:rPr>
      </w:pPr>
      <w:r>
        <w:rPr>
          <w:lang w:eastAsia="zh-CN"/>
        </w:rPr>
        <w:t xml:space="preserve">The industry differences in Figure 4 are also reasonable. Defensive industries like utilities and real estate have the highest overall line position; cyclical industries like </w:t>
      </w:r>
      <w:r w:rsidR="000526C1">
        <w:rPr>
          <w:lang w:eastAsia="zh-CN"/>
        </w:rPr>
        <w:t>F</w:t>
      </w:r>
      <w:r>
        <w:rPr>
          <w:lang w:eastAsia="zh-CN"/>
        </w:rPr>
        <w:t xml:space="preserve">inance and </w:t>
      </w:r>
      <w:r w:rsidR="000526C1">
        <w:rPr>
          <w:lang w:eastAsia="zh-CN"/>
        </w:rPr>
        <w:t>M</w:t>
      </w:r>
      <w:r>
        <w:rPr>
          <w:lang w:eastAsia="zh-CN"/>
        </w:rPr>
        <w:t>aterials are at the bottom. Industries with less news have noticeably</w:t>
      </w:r>
      <w:r w:rsidR="000526C1">
        <w:rPr>
          <w:rFonts w:hint="eastAsia"/>
          <w:lang w:eastAsia="zh-CN"/>
        </w:rPr>
        <w:t xml:space="preserve"> </w:t>
      </w:r>
      <w:r w:rsidR="000526C1">
        <w:rPr>
          <w:lang w:eastAsia="zh-CN"/>
        </w:rPr>
        <w:t>noisier</w:t>
      </w:r>
      <w:r>
        <w:rPr>
          <w:rFonts w:hint="eastAsia"/>
          <w:lang w:eastAsia="zh-CN"/>
        </w:rPr>
        <w:t xml:space="preserve"> </w:t>
      </w:r>
      <w:r>
        <w:rPr>
          <w:lang w:eastAsia="zh-CN"/>
        </w:rPr>
        <w:t>lines, which reflects the reality of data coverage, not a model flaw.</w:t>
      </w:r>
    </w:p>
    <w:p w14:paraId="31F2D497" w14:textId="77777777" w:rsidR="00094FB7" w:rsidRPr="00275812" w:rsidRDefault="00000000">
      <w:pPr>
        <w:pStyle w:val="Heading1"/>
      </w:pPr>
      <w:r w:rsidRPr="00275812">
        <w:t>4. Extensions and innovations</w:t>
      </w:r>
    </w:p>
    <w:p w14:paraId="29FC999E" w14:textId="5297DFFB" w:rsidR="007A15EB" w:rsidRDefault="007A15EB">
      <w:pPr>
        <w:rPr>
          <w:lang w:eastAsia="zh-CN"/>
        </w:rPr>
      </w:pPr>
      <w:r w:rsidRPr="007A15EB">
        <w:rPr>
          <w:lang w:eastAsia="zh-CN"/>
        </w:rPr>
        <w:t xml:space="preserve">This section focuses on </w:t>
      </w:r>
      <w:r w:rsidR="0097700B">
        <w:rPr>
          <w:lang w:eastAsia="zh-CN"/>
        </w:rPr>
        <w:t>five</w:t>
      </w:r>
      <w:r w:rsidRPr="007A15EB">
        <w:rPr>
          <w:lang w:eastAsia="zh-CN"/>
        </w:rPr>
        <w:t xml:space="preserve"> extensions beyond the baseline </w:t>
      </w:r>
      <w:r>
        <w:rPr>
          <w:lang w:eastAsia="zh-CN"/>
        </w:rPr>
        <w:t xml:space="preserve">design. The most important one is the </w:t>
      </w:r>
      <w:r w:rsidR="00D56CB1">
        <w:rPr>
          <w:lang w:eastAsia="zh-CN"/>
        </w:rPr>
        <w:t>practice area</w:t>
      </w:r>
      <w:r>
        <w:rPr>
          <w:lang w:eastAsia="zh-CN"/>
        </w:rPr>
        <w:t xml:space="preserve">, which is an investment time machine. Users choose a starting date, an amount, and a set of funds, and then cross the three-year out-of-sample interval. It has two modes. In the Replay mode, the entire timeline is visible. The user drags the slider to move the time forward. It usually goes by month, and when it enters the turbulent period, it will automatically slow down to the day. The Blind walk mode hides the future, and the picture only draws to the current date. Users decide to move forward step by step, but the progress will automatically stop at the beginning of the next turbulent period, so users can skip a calm year, but the actual huge fluctuation events </w:t>
      </w:r>
      <w:proofErr w:type="spellStart"/>
      <w:r>
        <w:rPr>
          <w:lang w:eastAsia="zh-CN"/>
        </w:rPr>
        <w:t>can not</w:t>
      </w:r>
      <w:proofErr w:type="spellEnd"/>
      <w:r>
        <w:rPr>
          <w:lang w:eastAsia="zh-CN"/>
        </w:rPr>
        <w:t xml:space="preserve"> be avoided. On any date, users can adjust the combination, add money, or withdraw money, and the position is tracked in US dollars, just like the real holding.</w:t>
      </w:r>
    </w:p>
    <w:p w14:paraId="6F1B9517" w14:textId="24CC27BA" w:rsidR="00D56CB1" w:rsidRDefault="007A15EB">
      <w:pPr>
        <w:rPr>
          <w:lang w:eastAsia="zh-CN"/>
        </w:rPr>
      </w:pPr>
      <w:r>
        <w:rPr>
          <w:lang w:eastAsia="zh-CN"/>
        </w:rPr>
        <w:t>There is also deliberate design in the time machine</w:t>
      </w:r>
      <w:r w:rsidR="00E46C98">
        <w:rPr>
          <w:lang w:eastAsia="zh-CN"/>
        </w:rPr>
        <w:t>;</w:t>
      </w:r>
      <w:r>
        <w:rPr>
          <w:lang w:eastAsia="zh-CN"/>
        </w:rPr>
        <w:t xml:space="preserve"> </w:t>
      </w:r>
      <w:r w:rsidR="00E46C98">
        <w:rPr>
          <w:lang w:eastAsia="zh-CN"/>
        </w:rPr>
        <w:t xml:space="preserve">it states but does not evaluate. </w:t>
      </w:r>
      <w:r>
        <w:rPr>
          <w:lang w:eastAsia="zh-CN"/>
        </w:rPr>
        <w:t xml:space="preserve">When the user experiences a </w:t>
      </w:r>
      <w:r w:rsidR="00E46C98">
        <w:rPr>
          <w:lang w:eastAsia="zh-CN"/>
        </w:rPr>
        <w:t>drawdown</w:t>
      </w:r>
      <w:r>
        <w:rPr>
          <w:lang w:eastAsia="zh-CN"/>
        </w:rPr>
        <w:t>, the interface will tell the user what happened and why, using the user’s real numbers but not saying whether their decision is correct</w:t>
      </w:r>
      <w:r w:rsidR="00D56CB1">
        <w:rPr>
          <w:lang w:eastAsia="zh-CN"/>
        </w:rPr>
        <w:t xml:space="preserve"> or not.</w:t>
      </w:r>
      <w:r w:rsidR="00E46C98">
        <w:rPr>
          <w:lang w:eastAsia="zh-CN"/>
        </w:rPr>
        <w:t xml:space="preserve"> </w:t>
      </w:r>
      <w:r w:rsidR="00DB5257">
        <w:rPr>
          <w:lang w:eastAsia="zh-CN"/>
        </w:rPr>
        <w:t xml:space="preserve">Trading apps face </w:t>
      </w:r>
      <w:r w:rsidR="00F31E73">
        <w:rPr>
          <w:lang w:eastAsia="zh-CN"/>
        </w:rPr>
        <w:t>the criticism of gamifying trading; for example, Robinhood removed its confetti animation in 2021 after such criticism (</w:t>
      </w:r>
      <w:r w:rsidR="00D85B92" w:rsidRPr="00D85B92">
        <w:rPr>
          <w:lang w:eastAsia="zh-CN"/>
        </w:rPr>
        <w:t>Massachusetts Securities Division, 2020</w:t>
      </w:r>
      <w:r w:rsidR="00E46C98">
        <w:rPr>
          <w:lang w:eastAsia="zh-CN"/>
        </w:rPr>
        <w:t>).</w:t>
      </w:r>
      <w:r w:rsidR="00D56CB1">
        <w:rPr>
          <w:lang w:eastAsia="zh-CN"/>
        </w:rPr>
        <w:t xml:space="preserve"> This design </w:t>
      </w:r>
      <w:r w:rsidR="00E46C98">
        <w:rPr>
          <w:lang w:eastAsia="zh-CN"/>
        </w:rPr>
        <w:t>is to reward users with understanding rather than activity.</w:t>
      </w:r>
    </w:p>
    <w:p w14:paraId="467A6B57" w14:textId="0A4BAA33" w:rsidR="00E46C98" w:rsidRDefault="00E46C98">
      <w:pPr>
        <w:rPr>
          <w:lang w:eastAsia="zh-CN"/>
        </w:rPr>
      </w:pPr>
      <w:r>
        <w:rPr>
          <w:lang w:eastAsia="zh-CN"/>
        </w:rPr>
        <w:t>The second extension is to fold the</w:t>
      </w:r>
      <w:r w:rsidR="00FC5620">
        <w:rPr>
          <w:lang w:eastAsia="zh-CN"/>
        </w:rPr>
        <w:t xml:space="preserve"> sentiment</w:t>
      </w:r>
      <w:r>
        <w:rPr>
          <w:lang w:eastAsia="zh-CN"/>
        </w:rPr>
        <w:t xml:space="preserve"> index into the </w:t>
      </w:r>
      <w:r w:rsidR="00DB5257">
        <w:rPr>
          <w:lang w:eastAsia="zh-CN"/>
        </w:rPr>
        <w:t>equity</w:t>
      </w:r>
      <w:r>
        <w:rPr>
          <w:lang w:eastAsia="zh-CN"/>
        </w:rPr>
        <w:t xml:space="preserve"> fund, and the result </w:t>
      </w:r>
      <w:r w:rsidR="009F3A01">
        <w:rPr>
          <w:lang w:eastAsia="zh-CN"/>
        </w:rPr>
        <w:t xml:space="preserve">is </w:t>
      </w:r>
      <w:r>
        <w:rPr>
          <w:lang w:eastAsia="zh-CN"/>
        </w:rPr>
        <w:t xml:space="preserve">negative. </w:t>
      </w:r>
      <w:r w:rsidR="00B36729">
        <w:rPr>
          <w:lang w:eastAsia="zh-CN"/>
        </w:rPr>
        <w:t>T</w:t>
      </w:r>
      <w:r>
        <w:rPr>
          <w:lang w:eastAsia="zh-CN"/>
        </w:rPr>
        <w:t xml:space="preserve">he result is </w:t>
      </w:r>
      <w:r w:rsidR="009F3A01">
        <w:rPr>
          <w:lang w:eastAsia="zh-CN"/>
        </w:rPr>
        <w:t xml:space="preserve">reported as it is; the </w:t>
      </w:r>
      <w:r w:rsidR="00FC5620">
        <w:rPr>
          <w:lang w:eastAsia="zh-CN"/>
        </w:rPr>
        <w:t>method</w:t>
      </w:r>
      <w:r w:rsidR="009F3A01">
        <w:rPr>
          <w:lang w:eastAsia="zh-CN"/>
        </w:rPr>
        <w:t xml:space="preserve"> is very direct</w:t>
      </w:r>
      <w:r w:rsidR="00FC5620">
        <w:rPr>
          <w:lang w:eastAsia="zh-CN"/>
        </w:rPr>
        <w:t xml:space="preserve"> and simple</w:t>
      </w:r>
      <w:r w:rsidR="009F3A01">
        <w:rPr>
          <w:lang w:eastAsia="zh-CN"/>
        </w:rPr>
        <w:t xml:space="preserve">: at every monthly rebalancing, multiply the base weight of Equity Max-Sharpe by a factor, and the factor increases or decreases with the z-score of the industry sentiment, and then the calculated negative weight </w:t>
      </w:r>
      <w:r w:rsidR="009F3A01">
        <w:rPr>
          <w:lang w:eastAsia="zh-CN"/>
        </w:rPr>
        <w:lastRenderedPageBreak/>
        <w:t>is truncated to zero and re-normalized. The effect is that industries with a positive news tone automatically get more weight.</w:t>
      </w:r>
    </w:p>
    <w:p w14:paraId="5A5D6E54" w14:textId="581326CB" w:rsidR="009F3A01" w:rsidRDefault="009F3A01">
      <w:pPr>
        <w:rPr>
          <w:lang w:eastAsia="zh-CN"/>
        </w:rPr>
      </w:pPr>
      <w:r>
        <w:rPr>
          <w:lang w:eastAsia="zh-CN"/>
        </w:rPr>
        <w:t xml:space="preserve">The results are shown in Figure 5 and Table 2: the tilt fund </w:t>
      </w:r>
      <w:r w:rsidR="00FC5620">
        <w:rPr>
          <w:lang w:eastAsia="zh-CN"/>
        </w:rPr>
        <w:t>underperforms</w:t>
      </w:r>
      <w:r>
        <w:rPr>
          <w:lang w:eastAsia="zh-CN"/>
        </w:rPr>
        <w:t xml:space="preserve"> the bas</w:t>
      </w:r>
      <w:r w:rsidR="00FC5620">
        <w:rPr>
          <w:lang w:eastAsia="zh-CN"/>
        </w:rPr>
        <w:t xml:space="preserve">e </w:t>
      </w:r>
      <w:r>
        <w:rPr>
          <w:lang w:eastAsia="zh-CN"/>
        </w:rPr>
        <w:t xml:space="preserve">fund. Sharpe ratio: 0.575 </w:t>
      </w:r>
      <w:r w:rsidR="00FC5620">
        <w:rPr>
          <w:lang w:eastAsia="zh-CN"/>
        </w:rPr>
        <w:t>against the base fund’s</w:t>
      </w:r>
      <w:r>
        <w:rPr>
          <w:lang w:eastAsia="zh-CN"/>
        </w:rPr>
        <w:t xml:space="preserve"> 0.614; annualized return: 9.2% </w:t>
      </w:r>
      <w:r w:rsidR="00DB5257">
        <w:rPr>
          <w:lang w:eastAsia="zh-CN"/>
        </w:rPr>
        <w:t>against</w:t>
      </w:r>
      <w:r>
        <w:rPr>
          <w:lang w:eastAsia="zh-CN"/>
        </w:rPr>
        <w:t xml:space="preserve"> 9.8%, also on 734 evaluation days. The </w:t>
      </w:r>
      <w:r w:rsidR="00DB5257">
        <w:rPr>
          <w:lang w:eastAsia="zh-CN"/>
        </w:rPr>
        <w:t>strength</w:t>
      </w:r>
      <w:r>
        <w:rPr>
          <w:lang w:eastAsia="zh-CN"/>
        </w:rPr>
        <w:t xml:space="preserve"> </w:t>
      </w:r>
      <w:r w:rsidR="00F31E73">
        <w:rPr>
          <w:lang w:eastAsia="zh-CN"/>
        </w:rPr>
        <w:t>and</w:t>
      </w:r>
      <w:r>
        <w:rPr>
          <w:lang w:eastAsia="zh-CN"/>
        </w:rPr>
        <w:t xml:space="preserve"> signal w</w:t>
      </w:r>
      <w:r w:rsidR="00F31E73">
        <w:rPr>
          <w:lang w:eastAsia="zh-CN"/>
        </w:rPr>
        <w:t xml:space="preserve">ere </w:t>
      </w:r>
      <w:r>
        <w:rPr>
          <w:lang w:eastAsia="zh-CN"/>
        </w:rPr>
        <w:t>not</w:t>
      </w:r>
      <w:r w:rsidR="00F31E73">
        <w:rPr>
          <w:lang w:eastAsia="zh-CN"/>
        </w:rPr>
        <w:t xml:space="preserve"> re-tuned</w:t>
      </w:r>
      <w:r>
        <w:rPr>
          <w:lang w:eastAsia="zh-CN"/>
        </w:rPr>
        <w:t>.</w:t>
      </w:r>
      <w:r w:rsidR="00F31E73">
        <w:rPr>
          <w:lang w:eastAsia="zh-CN"/>
        </w:rPr>
        <w:t xml:space="preserve"> What is reported is the result of the first run.</w:t>
      </w:r>
    </w:p>
    <w:p w14:paraId="61450FFD" w14:textId="77777777" w:rsidR="00E46C98" w:rsidRPr="00840B21" w:rsidRDefault="00E46C98" w:rsidP="00E46C98">
      <w:pPr>
        <w:jc w:val="center"/>
        <w:rPr>
          <w:highlight w:val="yellow"/>
        </w:rPr>
      </w:pPr>
      <w:r w:rsidRPr="00840B21">
        <w:rPr>
          <w:noProof/>
          <w:highlight w:val="yellow"/>
        </w:rPr>
        <w:drawing>
          <wp:inline distT="0" distB="0" distL="0" distR="0" wp14:anchorId="73B6A863" wp14:editId="4166DFBE">
            <wp:extent cx="548640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sion_growth_of_1.png"/>
                    <pic:cNvPicPr/>
                  </pic:nvPicPr>
                  <pic:blipFill>
                    <a:blip r:embed="rId11"/>
                    <a:stretch>
                      <a:fillRect/>
                    </a:stretch>
                  </pic:blipFill>
                  <pic:spPr>
                    <a:xfrm>
                      <a:off x="0" y="0"/>
                      <a:ext cx="5486400" cy="3048000"/>
                    </a:xfrm>
                    <a:prstGeom prst="rect">
                      <a:avLst/>
                    </a:prstGeom>
                  </pic:spPr>
                </pic:pic>
              </a:graphicData>
            </a:graphic>
          </wp:inline>
        </w:drawing>
      </w:r>
    </w:p>
    <w:p w14:paraId="31833494" w14:textId="501BAD16" w:rsidR="00E46C98" w:rsidRPr="009F3A01" w:rsidRDefault="009F3A01" w:rsidP="00E46C98">
      <w:pPr>
        <w:pStyle w:val="Caption"/>
        <w:jc w:val="center"/>
      </w:pPr>
      <w:r w:rsidRPr="009F3A01">
        <w:rPr>
          <w:color w:val="990F3D"/>
        </w:rPr>
        <w:t>Figure 5</w:t>
      </w:r>
      <w:r w:rsidR="00E46C98" w:rsidRPr="009F3A01">
        <w:rPr>
          <w:color w:val="990F3D"/>
        </w:rPr>
        <w:t xml:space="preserve">— </w:t>
      </w:r>
      <w:r w:rsidR="00E46C98" w:rsidRPr="009F3A01">
        <w:rPr>
          <w:color w:val="6B625C"/>
        </w:rPr>
        <w:t>Fusion before vs after: growth of $1, base Equity Max-Sharpe vs sentiment-tilted, same 734 evaluated days.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160"/>
        <w:gridCol w:w="2160"/>
        <w:gridCol w:w="2160"/>
        <w:gridCol w:w="2160"/>
      </w:tblGrid>
      <w:tr w:rsidR="00E46C98" w:rsidRPr="009F3A01" w14:paraId="52F51078" w14:textId="77777777" w:rsidTr="002B30A8">
        <w:trPr>
          <w:jc w:val="center"/>
        </w:trPr>
        <w:tc>
          <w:tcPr>
            <w:tcW w:w="2160" w:type="dxa"/>
            <w:shd w:val="clear" w:color="auto" w:fill="0F766E"/>
          </w:tcPr>
          <w:p w14:paraId="1184D92D" w14:textId="77777777" w:rsidR="00E46C98" w:rsidRPr="009F3A01" w:rsidRDefault="00E46C98" w:rsidP="002B30A8">
            <w:pPr>
              <w:jc w:val="center"/>
            </w:pPr>
            <w:r w:rsidRPr="009F3A01">
              <w:rPr>
                <w:b/>
                <w:color w:val="FFFFFF"/>
                <w:sz w:val="19"/>
              </w:rPr>
              <w:t>Metric</w:t>
            </w:r>
          </w:p>
        </w:tc>
        <w:tc>
          <w:tcPr>
            <w:tcW w:w="2160" w:type="dxa"/>
            <w:shd w:val="clear" w:color="auto" w:fill="0F766E"/>
          </w:tcPr>
          <w:p w14:paraId="308C4ACC" w14:textId="77777777" w:rsidR="00E46C98" w:rsidRPr="009F3A01" w:rsidRDefault="00E46C98" w:rsidP="002B30A8">
            <w:pPr>
              <w:jc w:val="center"/>
            </w:pPr>
            <w:r w:rsidRPr="009F3A01">
              <w:rPr>
                <w:b/>
                <w:color w:val="FFFFFF"/>
                <w:sz w:val="19"/>
              </w:rPr>
              <w:t>Base: Equity Max-Sharpe</w:t>
            </w:r>
          </w:p>
        </w:tc>
        <w:tc>
          <w:tcPr>
            <w:tcW w:w="2160" w:type="dxa"/>
            <w:shd w:val="clear" w:color="auto" w:fill="0F766E"/>
          </w:tcPr>
          <w:p w14:paraId="111E3779" w14:textId="77777777" w:rsidR="00E46C98" w:rsidRPr="009F3A01" w:rsidRDefault="00E46C98" w:rsidP="002B30A8">
            <w:pPr>
              <w:jc w:val="center"/>
            </w:pPr>
            <w:proofErr w:type="spellStart"/>
            <w:r w:rsidRPr="009F3A01">
              <w:rPr>
                <w:b/>
                <w:color w:val="FFFFFF"/>
                <w:sz w:val="19"/>
              </w:rPr>
              <w:t>Equity+Sentiment</w:t>
            </w:r>
            <w:proofErr w:type="spellEnd"/>
            <w:r w:rsidRPr="009F3A01">
              <w:rPr>
                <w:b/>
                <w:color w:val="FFFFFF"/>
                <w:sz w:val="19"/>
              </w:rPr>
              <w:t xml:space="preserve"> Tilt</w:t>
            </w:r>
          </w:p>
        </w:tc>
        <w:tc>
          <w:tcPr>
            <w:tcW w:w="2160" w:type="dxa"/>
            <w:shd w:val="clear" w:color="auto" w:fill="0F766E"/>
          </w:tcPr>
          <w:p w14:paraId="4F42DBBF" w14:textId="77777777" w:rsidR="00E46C98" w:rsidRPr="009F3A01" w:rsidRDefault="00E46C98" w:rsidP="002B30A8">
            <w:pPr>
              <w:jc w:val="center"/>
            </w:pPr>
            <w:r w:rsidRPr="009F3A01">
              <w:rPr>
                <w:b/>
                <w:color w:val="FFFFFF"/>
                <w:sz w:val="19"/>
              </w:rPr>
              <w:t>Difference</w:t>
            </w:r>
          </w:p>
        </w:tc>
      </w:tr>
      <w:tr w:rsidR="00E46C98" w:rsidRPr="009F3A01" w14:paraId="099BEA69" w14:textId="77777777" w:rsidTr="002B30A8">
        <w:trPr>
          <w:jc w:val="center"/>
        </w:trPr>
        <w:tc>
          <w:tcPr>
            <w:tcW w:w="2160" w:type="dxa"/>
          </w:tcPr>
          <w:p w14:paraId="1E859C85" w14:textId="77777777" w:rsidR="00E46C98" w:rsidRPr="009F3A01" w:rsidRDefault="00E46C98" w:rsidP="002B30A8">
            <w:proofErr w:type="spellStart"/>
            <w:r w:rsidRPr="009F3A01">
              <w:rPr>
                <w:sz w:val="19"/>
              </w:rPr>
              <w:t>Annualised</w:t>
            </w:r>
            <w:proofErr w:type="spellEnd"/>
            <w:r w:rsidRPr="009F3A01">
              <w:rPr>
                <w:sz w:val="19"/>
              </w:rPr>
              <w:t xml:space="preserve"> return</w:t>
            </w:r>
          </w:p>
        </w:tc>
        <w:tc>
          <w:tcPr>
            <w:tcW w:w="2160" w:type="dxa"/>
          </w:tcPr>
          <w:p w14:paraId="06D25464" w14:textId="77777777" w:rsidR="00E46C98" w:rsidRPr="009F3A01" w:rsidRDefault="00E46C98" w:rsidP="002B30A8">
            <w:pPr>
              <w:jc w:val="right"/>
            </w:pPr>
            <w:r w:rsidRPr="009F3A01">
              <w:rPr>
                <w:sz w:val="19"/>
              </w:rPr>
              <w:t>9.8%</w:t>
            </w:r>
          </w:p>
        </w:tc>
        <w:tc>
          <w:tcPr>
            <w:tcW w:w="2160" w:type="dxa"/>
          </w:tcPr>
          <w:p w14:paraId="4DFC2B09" w14:textId="77777777" w:rsidR="00E46C98" w:rsidRPr="009F3A01" w:rsidRDefault="00E46C98" w:rsidP="002B30A8">
            <w:pPr>
              <w:jc w:val="right"/>
            </w:pPr>
            <w:r w:rsidRPr="009F3A01">
              <w:rPr>
                <w:sz w:val="19"/>
              </w:rPr>
              <w:t>9.2%</w:t>
            </w:r>
          </w:p>
        </w:tc>
        <w:tc>
          <w:tcPr>
            <w:tcW w:w="2160" w:type="dxa"/>
          </w:tcPr>
          <w:p w14:paraId="5E0BE6A3" w14:textId="77777777" w:rsidR="00E46C98" w:rsidRPr="009F3A01" w:rsidRDefault="00E46C98" w:rsidP="002B30A8">
            <w:pPr>
              <w:jc w:val="right"/>
            </w:pPr>
            <w:r w:rsidRPr="009F3A01">
              <w:rPr>
                <w:sz w:val="19"/>
              </w:rPr>
              <w:t>-0.6 pp</w:t>
            </w:r>
          </w:p>
        </w:tc>
      </w:tr>
      <w:tr w:rsidR="00E46C98" w:rsidRPr="009F3A01" w14:paraId="2A75D72C" w14:textId="77777777" w:rsidTr="002B30A8">
        <w:trPr>
          <w:jc w:val="center"/>
        </w:trPr>
        <w:tc>
          <w:tcPr>
            <w:tcW w:w="2160" w:type="dxa"/>
            <w:shd w:val="clear" w:color="auto" w:fill="F2F0EC"/>
          </w:tcPr>
          <w:p w14:paraId="3D7C86E6" w14:textId="77777777" w:rsidR="00E46C98" w:rsidRPr="009F3A01" w:rsidRDefault="00E46C98" w:rsidP="002B30A8">
            <w:proofErr w:type="spellStart"/>
            <w:r w:rsidRPr="009F3A01">
              <w:rPr>
                <w:sz w:val="19"/>
              </w:rPr>
              <w:t>Annualised</w:t>
            </w:r>
            <w:proofErr w:type="spellEnd"/>
            <w:r w:rsidRPr="009F3A01">
              <w:rPr>
                <w:sz w:val="19"/>
              </w:rPr>
              <w:t xml:space="preserve"> volatility</w:t>
            </w:r>
          </w:p>
        </w:tc>
        <w:tc>
          <w:tcPr>
            <w:tcW w:w="2160" w:type="dxa"/>
            <w:shd w:val="clear" w:color="auto" w:fill="F2F0EC"/>
          </w:tcPr>
          <w:p w14:paraId="6D500DB4" w14:textId="77777777" w:rsidR="00E46C98" w:rsidRPr="009F3A01" w:rsidRDefault="00E46C98" w:rsidP="002B30A8">
            <w:pPr>
              <w:jc w:val="right"/>
            </w:pPr>
            <w:r w:rsidRPr="009F3A01">
              <w:rPr>
                <w:sz w:val="19"/>
              </w:rPr>
              <w:t>17.9%</w:t>
            </w:r>
          </w:p>
        </w:tc>
        <w:tc>
          <w:tcPr>
            <w:tcW w:w="2160" w:type="dxa"/>
            <w:shd w:val="clear" w:color="auto" w:fill="F2F0EC"/>
          </w:tcPr>
          <w:p w14:paraId="332A9EAA" w14:textId="77777777" w:rsidR="00E46C98" w:rsidRPr="009F3A01" w:rsidRDefault="00E46C98" w:rsidP="002B30A8">
            <w:pPr>
              <w:jc w:val="right"/>
            </w:pPr>
            <w:r w:rsidRPr="009F3A01">
              <w:rPr>
                <w:sz w:val="19"/>
              </w:rPr>
              <w:t>18.1%</w:t>
            </w:r>
          </w:p>
        </w:tc>
        <w:tc>
          <w:tcPr>
            <w:tcW w:w="2160" w:type="dxa"/>
            <w:shd w:val="clear" w:color="auto" w:fill="F2F0EC"/>
          </w:tcPr>
          <w:p w14:paraId="0515A55F" w14:textId="77777777" w:rsidR="00E46C98" w:rsidRPr="009F3A01" w:rsidRDefault="00E46C98" w:rsidP="002B30A8">
            <w:pPr>
              <w:jc w:val="right"/>
            </w:pPr>
            <w:r w:rsidRPr="009F3A01">
              <w:rPr>
                <w:sz w:val="19"/>
              </w:rPr>
              <w:t>+0.2 pp</w:t>
            </w:r>
          </w:p>
        </w:tc>
      </w:tr>
      <w:tr w:rsidR="00E46C98" w:rsidRPr="009F3A01" w14:paraId="5A58CE7B" w14:textId="77777777" w:rsidTr="002B30A8">
        <w:trPr>
          <w:jc w:val="center"/>
        </w:trPr>
        <w:tc>
          <w:tcPr>
            <w:tcW w:w="2160" w:type="dxa"/>
          </w:tcPr>
          <w:p w14:paraId="05CC8C87" w14:textId="77777777" w:rsidR="00E46C98" w:rsidRPr="009F3A01" w:rsidRDefault="00E46C98" w:rsidP="002B30A8">
            <w:r w:rsidRPr="009F3A01">
              <w:rPr>
                <w:sz w:val="19"/>
              </w:rPr>
              <w:t>Sharpe ratio</w:t>
            </w:r>
          </w:p>
        </w:tc>
        <w:tc>
          <w:tcPr>
            <w:tcW w:w="2160" w:type="dxa"/>
          </w:tcPr>
          <w:p w14:paraId="1337CCD8" w14:textId="77777777" w:rsidR="00E46C98" w:rsidRPr="009F3A01" w:rsidRDefault="00E46C98" w:rsidP="002B30A8">
            <w:pPr>
              <w:jc w:val="right"/>
            </w:pPr>
            <w:r w:rsidRPr="009F3A01">
              <w:rPr>
                <w:sz w:val="19"/>
              </w:rPr>
              <w:t>0.614</w:t>
            </w:r>
          </w:p>
        </w:tc>
        <w:tc>
          <w:tcPr>
            <w:tcW w:w="2160" w:type="dxa"/>
          </w:tcPr>
          <w:p w14:paraId="5EBA3DFA" w14:textId="77777777" w:rsidR="00E46C98" w:rsidRPr="009F3A01" w:rsidRDefault="00E46C98" w:rsidP="002B30A8">
            <w:pPr>
              <w:jc w:val="right"/>
            </w:pPr>
            <w:r w:rsidRPr="009F3A01">
              <w:rPr>
                <w:sz w:val="19"/>
              </w:rPr>
              <w:t>0.575</w:t>
            </w:r>
          </w:p>
        </w:tc>
        <w:tc>
          <w:tcPr>
            <w:tcW w:w="2160" w:type="dxa"/>
          </w:tcPr>
          <w:p w14:paraId="29E892E9" w14:textId="77777777" w:rsidR="00E46C98" w:rsidRPr="009F3A01" w:rsidRDefault="00E46C98" w:rsidP="002B30A8">
            <w:pPr>
              <w:jc w:val="right"/>
            </w:pPr>
            <w:r w:rsidRPr="009F3A01">
              <w:rPr>
                <w:sz w:val="19"/>
              </w:rPr>
              <w:t>-0.038</w:t>
            </w:r>
          </w:p>
        </w:tc>
      </w:tr>
      <w:tr w:rsidR="00E46C98" w:rsidRPr="009F3A01" w14:paraId="0D7E2DE1" w14:textId="77777777" w:rsidTr="002B30A8">
        <w:trPr>
          <w:jc w:val="center"/>
        </w:trPr>
        <w:tc>
          <w:tcPr>
            <w:tcW w:w="2160" w:type="dxa"/>
            <w:shd w:val="clear" w:color="auto" w:fill="F2F0EC"/>
          </w:tcPr>
          <w:p w14:paraId="1BF63CB9" w14:textId="77777777" w:rsidR="00E46C98" w:rsidRPr="009F3A01" w:rsidRDefault="00E46C98" w:rsidP="002B30A8">
            <w:r w:rsidRPr="009F3A01">
              <w:rPr>
                <w:sz w:val="19"/>
              </w:rPr>
              <w:t>Maximum drawdown</w:t>
            </w:r>
          </w:p>
        </w:tc>
        <w:tc>
          <w:tcPr>
            <w:tcW w:w="2160" w:type="dxa"/>
            <w:shd w:val="clear" w:color="auto" w:fill="F2F0EC"/>
          </w:tcPr>
          <w:p w14:paraId="5084383C" w14:textId="77777777" w:rsidR="00E46C98" w:rsidRPr="009F3A01" w:rsidRDefault="00E46C98" w:rsidP="002B30A8">
            <w:pPr>
              <w:jc w:val="right"/>
            </w:pPr>
            <w:r w:rsidRPr="009F3A01">
              <w:rPr>
                <w:sz w:val="19"/>
              </w:rPr>
              <w:t>-27.6%</w:t>
            </w:r>
          </w:p>
        </w:tc>
        <w:tc>
          <w:tcPr>
            <w:tcW w:w="2160" w:type="dxa"/>
            <w:shd w:val="clear" w:color="auto" w:fill="F2F0EC"/>
          </w:tcPr>
          <w:p w14:paraId="7B6E2405" w14:textId="77777777" w:rsidR="00E46C98" w:rsidRPr="009F3A01" w:rsidRDefault="00E46C98" w:rsidP="002B30A8">
            <w:pPr>
              <w:jc w:val="right"/>
            </w:pPr>
            <w:r w:rsidRPr="009F3A01">
              <w:rPr>
                <w:sz w:val="19"/>
              </w:rPr>
              <w:t>-26.9%</w:t>
            </w:r>
          </w:p>
        </w:tc>
        <w:tc>
          <w:tcPr>
            <w:tcW w:w="2160" w:type="dxa"/>
            <w:shd w:val="clear" w:color="auto" w:fill="F2F0EC"/>
          </w:tcPr>
          <w:p w14:paraId="4B68C5EF" w14:textId="77777777" w:rsidR="00E46C98" w:rsidRPr="009F3A01" w:rsidRDefault="00E46C98" w:rsidP="002B30A8">
            <w:pPr>
              <w:jc w:val="right"/>
            </w:pPr>
            <w:r w:rsidRPr="009F3A01">
              <w:rPr>
                <w:sz w:val="19"/>
              </w:rPr>
              <w:t>+0.6 pp</w:t>
            </w:r>
          </w:p>
        </w:tc>
      </w:tr>
      <w:tr w:rsidR="00E46C98" w:rsidRPr="009F3A01" w14:paraId="3D15F2AE" w14:textId="77777777" w:rsidTr="002B30A8">
        <w:trPr>
          <w:jc w:val="center"/>
        </w:trPr>
        <w:tc>
          <w:tcPr>
            <w:tcW w:w="2160" w:type="dxa"/>
          </w:tcPr>
          <w:p w14:paraId="3CB2D23A" w14:textId="77777777" w:rsidR="00E46C98" w:rsidRPr="009F3A01" w:rsidRDefault="00E46C98" w:rsidP="002B30A8">
            <w:r w:rsidRPr="009F3A01">
              <w:rPr>
                <w:sz w:val="19"/>
              </w:rPr>
              <w:t>Evaluated days</w:t>
            </w:r>
          </w:p>
        </w:tc>
        <w:tc>
          <w:tcPr>
            <w:tcW w:w="2160" w:type="dxa"/>
          </w:tcPr>
          <w:p w14:paraId="3337CB78" w14:textId="77777777" w:rsidR="00E46C98" w:rsidRPr="009F3A01" w:rsidRDefault="00E46C98" w:rsidP="002B30A8">
            <w:pPr>
              <w:jc w:val="right"/>
            </w:pPr>
            <w:r w:rsidRPr="009F3A01">
              <w:rPr>
                <w:sz w:val="19"/>
              </w:rPr>
              <w:t>734</w:t>
            </w:r>
          </w:p>
        </w:tc>
        <w:tc>
          <w:tcPr>
            <w:tcW w:w="2160" w:type="dxa"/>
          </w:tcPr>
          <w:p w14:paraId="7E85909C" w14:textId="77777777" w:rsidR="00E46C98" w:rsidRPr="009F3A01" w:rsidRDefault="00E46C98" w:rsidP="002B30A8">
            <w:pPr>
              <w:jc w:val="right"/>
            </w:pPr>
            <w:r w:rsidRPr="009F3A01">
              <w:rPr>
                <w:sz w:val="19"/>
              </w:rPr>
              <w:t>734</w:t>
            </w:r>
          </w:p>
        </w:tc>
        <w:tc>
          <w:tcPr>
            <w:tcW w:w="2160" w:type="dxa"/>
          </w:tcPr>
          <w:p w14:paraId="65099E97" w14:textId="77777777" w:rsidR="00E46C98" w:rsidRPr="009F3A01" w:rsidRDefault="00E46C98" w:rsidP="002B30A8">
            <w:pPr>
              <w:jc w:val="right"/>
            </w:pPr>
            <w:r w:rsidRPr="009F3A01">
              <w:rPr>
                <w:sz w:val="19"/>
              </w:rPr>
              <w:t>0</w:t>
            </w:r>
          </w:p>
        </w:tc>
      </w:tr>
    </w:tbl>
    <w:p w14:paraId="0E0BBF4D" w14:textId="3116E336" w:rsidR="00E46C98" w:rsidRPr="009F3A01" w:rsidRDefault="009F3A01" w:rsidP="00E46C98">
      <w:pPr>
        <w:pStyle w:val="Caption"/>
        <w:jc w:val="center"/>
      </w:pPr>
      <w:r w:rsidRPr="009F3A01">
        <w:rPr>
          <w:color w:val="990F3D"/>
        </w:rPr>
        <w:t>Table 2</w:t>
      </w:r>
      <w:r w:rsidR="00E46C98" w:rsidRPr="009F3A01">
        <w:rPr>
          <w:color w:val="990F3D"/>
        </w:rPr>
        <w:t xml:space="preserve"> — </w:t>
      </w:r>
      <w:r w:rsidR="00E46C98" w:rsidRPr="009F3A01">
        <w:rPr>
          <w:color w:val="6B625C"/>
        </w:rPr>
        <w:t>Fusion before vs after, in table form: the base equity max-Sharpe fund against its sentiment-tilted variant on the same 734 evaluated days (pp = percentage points).</w:t>
      </w:r>
    </w:p>
    <w:p w14:paraId="210BEB0D" w14:textId="06EC8519" w:rsidR="00E46C98" w:rsidRDefault="009F3A01">
      <w:pPr>
        <w:rPr>
          <w:lang w:eastAsia="zh-CN"/>
        </w:rPr>
      </w:pPr>
      <w:r>
        <w:rPr>
          <w:lang w:eastAsia="zh-CN"/>
        </w:rPr>
        <w:t xml:space="preserve">The explanation goes back to Section 3; the </w:t>
      </w:r>
      <w:r w:rsidR="00FC5620">
        <w:rPr>
          <w:lang w:eastAsia="zh-CN"/>
        </w:rPr>
        <w:t>headline</w:t>
      </w:r>
      <w:r>
        <w:rPr>
          <w:lang w:eastAsia="zh-CN"/>
        </w:rPr>
        <w:t xml:space="preserve"> tone is a real but noisy signal. The noisy signal is directly folded into the weight, which shows that it is an unnecessary adjustment, not an advantage. This negative result itself is a baseline, and any better integration method in the future must first prove that it can surpass it.</w:t>
      </w:r>
    </w:p>
    <w:p w14:paraId="7D60E052" w14:textId="4342F99B" w:rsidR="007D418B" w:rsidRDefault="007D418B">
      <w:pPr>
        <w:rPr>
          <w:lang w:eastAsia="zh-CN"/>
        </w:rPr>
      </w:pPr>
      <w:r>
        <w:rPr>
          <w:lang w:eastAsia="zh-CN"/>
        </w:rPr>
        <w:t xml:space="preserve">The third item is the custom financial dictionary mentioned previously in Section 3, which is built from scratch; each entry has been manually reviewed and passed the external verification of the </w:t>
      </w:r>
      <w:proofErr w:type="spellStart"/>
      <w:r>
        <w:rPr>
          <w:lang w:eastAsia="zh-CN"/>
        </w:rPr>
        <w:t>finVADER</w:t>
      </w:r>
      <w:proofErr w:type="spellEnd"/>
      <w:r>
        <w:rPr>
          <w:lang w:eastAsia="zh-CN"/>
        </w:rPr>
        <w:t xml:space="preserve"> benchmark</w:t>
      </w:r>
      <w:r w:rsidR="007D776B">
        <w:rPr>
          <w:lang w:eastAsia="zh-CN"/>
        </w:rPr>
        <w:t xml:space="preserve"> (</w:t>
      </w:r>
      <w:proofErr w:type="spellStart"/>
      <w:r w:rsidR="007D776B" w:rsidRPr="007D776B">
        <w:rPr>
          <w:lang w:eastAsia="zh-CN"/>
        </w:rPr>
        <w:t>Koráb</w:t>
      </w:r>
      <w:proofErr w:type="spellEnd"/>
      <w:r w:rsidR="007D776B" w:rsidRPr="007D776B">
        <w:rPr>
          <w:lang w:eastAsia="zh-CN"/>
        </w:rPr>
        <w:t>, 2023</w:t>
      </w:r>
      <w:r w:rsidR="007D776B">
        <w:rPr>
          <w:lang w:eastAsia="zh-CN"/>
        </w:rPr>
        <w:t>)</w:t>
      </w:r>
      <w:r>
        <w:rPr>
          <w:lang w:eastAsia="zh-CN"/>
        </w:rPr>
        <w:t xml:space="preserve">. The fourth is the product's design system, which is a set of its own color, font, and chart style consistent throughout the whole app. A further illustration is </w:t>
      </w:r>
      <w:r>
        <w:rPr>
          <w:lang w:eastAsia="zh-CN"/>
        </w:rPr>
        <w:lastRenderedPageBreak/>
        <w:t>in Section 5.</w:t>
      </w:r>
      <w:r w:rsidR="00DB5257">
        <w:rPr>
          <w:lang w:eastAsia="zh-CN"/>
        </w:rPr>
        <w:t xml:space="preserve"> The fifth item is the fixed language-switching function which allows the same set of numbers to be switched between plain English and technical terms at any time to allow non-professional users understand evidence.</w:t>
      </w:r>
    </w:p>
    <w:p w14:paraId="0FF9F0BB" w14:textId="4C2B3821" w:rsidR="007D418B" w:rsidRDefault="007D418B">
      <w:pPr>
        <w:rPr>
          <w:lang w:eastAsia="zh-CN"/>
        </w:rPr>
      </w:pPr>
      <w:r>
        <w:rPr>
          <w:lang w:eastAsia="zh-CN"/>
        </w:rPr>
        <w:t xml:space="preserve">In </w:t>
      </w:r>
      <w:r w:rsidR="00DB5257">
        <w:rPr>
          <w:lang w:eastAsia="zh-CN"/>
        </w:rPr>
        <w:t>five</w:t>
      </w:r>
      <w:r>
        <w:rPr>
          <w:lang w:eastAsia="zh-CN"/>
        </w:rPr>
        <w:t xml:space="preserve"> extensions, the time machine is the innovation at the product level, the dictionary is the innovation at the tool level, the fusion experiment is the attempt at the method level, and the design </w:t>
      </w:r>
      <w:r w:rsidR="00B36729">
        <w:rPr>
          <w:lang w:eastAsia="zh-CN"/>
        </w:rPr>
        <w:t>system is the work at the expression level. They are independent but serve the same purpose: to help non-professional investor understand the evidence and make their own decisions.</w:t>
      </w:r>
    </w:p>
    <w:p w14:paraId="56CB7753" w14:textId="77777777" w:rsidR="00094FB7" w:rsidRPr="00DB5257" w:rsidRDefault="00000000">
      <w:pPr>
        <w:pStyle w:val="Heading1"/>
      </w:pPr>
      <w:r w:rsidRPr="00DB5257">
        <w:t>5. The app and the investor journey</w:t>
      </w:r>
    </w:p>
    <w:p w14:paraId="6B8A9452" w14:textId="18C6DA8C" w:rsidR="00DB5257" w:rsidRDefault="00DB5257">
      <w:pPr>
        <w:rPr>
          <w:lang w:eastAsia="zh-CN"/>
        </w:rPr>
      </w:pPr>
      <w:proofErr w:type="spellStart"/>
      <w:r w:rsidRPr="003F5411">
        <w:rPr>
          <w:lang w:eastAsia="zh-CN"/>
        </w:rPr>
        <w:t>HyperInvest</w:t>
      </w:r>
      <w:proofErr w:type="spellEnd"/>
      <w:r w:rsidRPr="003F5411">
        <w:rPr>
          <w:lang w:eastAsia="zh-CN"/>
        </w:rPr>
        <w:t xml:space="preserve"> is a </w:t>
      </w:r>
      <w:proofErr w:type="spellStart"/>
      <w:r w:rsidRPr="003F5411">
        <w:rPr>
          <w:lang w:eastAsia="zh-CN"/>
        </w:rPr>
        <w:t>St</w:t>
      </w:r>
      <w:r w:rsidR="003F5411">
        <w:rPr>
          <w:lang w:eastAsia="zh-CN"/>
        </w:rPr>
        <w:t>r</w:t>
      </w:r>
      <w:r w:rsidRPr="003F5411">
        <w:rPr>
          <w:lang w:eastAsia="zh-CN"/>
        </w:rPr>
        <w:t>eamlit</w:t>
      </w:r>
      <w:proofErr w:type="spellEnd"/>
      <w:r w:rsidRPr="003F5411">
        <w:rPr>
          <w:lang w:eastAsia="zh-CN"/>
        </w:rPr>
        <w:t xml:space="preserve"> application deployed from the public GitHub repository</w:t>
      </w:r>
      <w:r w:rsidR="003F5411" w:rsidRPr="003F5411">
        <w:rPr>
          <w:lang w:eastAsia="zh-CN"/>
        </w:rPr>
        <w:t xml:space="preserve">. The </w:t>
      </w:r>
      <w:r w:rsidR="003F5411">
        <w:rPr>
          <w:lang w:eastAsia="zh-CN"/>
        </w:rPr>
        <w:t xml:space="preserve">deployed version only reads the pre-calculated and submitted result file and does not recalculate the </w:t>
      </w:r>
      <w:proofErr w:type="spellStart"/>
      <w:r w:rsidR="003F5411">
        <w:rPr>
          <w:lang w:eastAsia="zh-CN"/>
        </w:rPr>
        <w:t>backtest</w:t>
      </w:r>
      <w:proofErr w:type="spellEnd"/>
      <w:r w:rsidR="003F5411">
        <w:rPr>
          <w:lang w:eastAsia="zh-CN"/>
        </w:rPr>
        <w:t xml:space="preserve"> at runtime, so it also allows users to access it quickly</w:t>
      </w:r>
      <w:r w:rsidR="003F5411" w:rsidRPr="003F5411">
        <w:rPr>
          <w:lang w:eastAsia="zh-CN"/>
        </w:rPr>
        <w:t xml:space="preserve"> on the free </w:t>
      </w:r>
      <w:r w:rsidR="00393A10">
        <w:rPr>
          <w:lang w:eastAsia="zh-CN"/>
        </w:rPr>
        <w:t>tier</w:t>
      </w:r>
      <w:r w:rsidR="003F5411" w:rsidRPr="003F5411">
        <w:rPr>
          <w:rFonts w:hint="eastAsia"/>
          <w:lang w:eastAsia="zh-CN"/>
        </w:rPr>
        <w:t>.</w:t>
      </w:r>
    </w:p>
    <w:p w14:paraId="7510F171" w14:textId="7982B65E" w:rsidR="00C16931" w:rsidRDefault="00C16931">
      <w:pPr>
        <w:rPr>
          <w:lang w:eastAsia="zh-CN"/>
        </w:rPr>
      </w:pPr>
      <w:r>
        <w:rPr>
          <w:lang w:eastAsia="zh-CN"/>
        </w:rPr>
        <w:t xml:space="preserve">The turbulent period in the time machine of the Practice area is pre-calculated. The rules are divided into two layers; the first layer looks at the data: the single-day fluctuation of Combined Equal-Weight is more than twice the daily standard deviation of the whole sample. Such days are marked out, and </w:t>
      </w:r>
      <w:r w:rsidR="005E1C6B">
        <w:rPr>
          <w:lang w:eastAsia="zh-CN"/>
        </w:rPr>
        <w:t xml:space="preserve">the </w:t>
      </w:r>
      <w:r>
        <w:rPr>
          <w:lang w:eastAsia="zh-CN"/>
        </w:rPr>
        <w:t>days</w:t>
      </w:r>
      <w:r w:rsidR="005E1C6B">
        <w:rPr>
          <w:lang w:eastAsia="zh-CN"/>
        </w:rPr>
        <w:t xml:space="preserve"> close together</w:t>
      </w:r>
      <w:r>
        <w:rPr>
          <w:lang w:eastAsia="zh-CN"/>
        </w:rPr>
        <w:t xml:space="preserve"> are merged into windows. The second layer </w:t>
      </w:r>
      <w:r w:rsidR="005E1C6B">
        <w:rPr>
          <w:lang w:eastAsia="zh-CN"/>
        </w:rPr>
        <w:t>adds</w:t>
      </w:r>
      <w:r>
        <w:rPr>
          <w:lang w:eastAsia="zh-CN"/>
        </w:rPr>
        <w:t xml:space="preserve"> history: four named events: Crypto Selloff in May 2021, Bear Market in June 2022,</w:t>
      </w:r>
      <w:r w:rsidR="005E1C6B">
        <w:rPr>
          <w:lang w:eastAsia="zh-CN"/>
        </w:rPr>
        <w:t xml:space="preserve"> the November 2022 FTX collapse</w:t>
      </w:r>
      <w:r w:rsidR="00E62F9C">
        <w:rPr>
          <w:lang w:eastAsia="zh-CN"/>
        </w:rPr>
        <w:t>,</w:t>
      </w:r>
      <w:r>
        <w:rPr>
          <w:lang w:eastAsia="zh-CN"/>
        </w:rPr>
        <w:t xml:space="preserve"> </w:t>
      </w:r>
      <w:r w:rsidR="005E1C6B">
        <w:rPr>
          <w:lang w:eastAsia="zh-CN"/>
        </w:rPr>
        <w:t xml:space="preserve">and </w:t>
      </w:r>
      <w:r>
        <w:rPr>
          <w:lang w:eastAsia="zh-CN"/>
        </w:rPr>
        <w:t xml:space="preserve">Banking Pressure in March 2023. Each extended forward and backward for five trading days. After the two layers are merged, there are a total of 7 windows, which exist in the event calendar. Replay mode usually goes by month, and when entering the window, it automatically slows down to </w:t>
      </w:r>
      <w:r w:rsidR="00E62F9C">
        <w:rPr>
          <w:lang w:eastAsia="zh-CN"/>
        </w:rPr>
        <w:t xml:space="preserve">the </w:t>
      </w:r>
      <w:r>
        <w:rPr>
          <w:lang w:eastAsia="zh-CN"/>
        </w:rPr>
        <w:t>day; for Blind Walk mode, any advance in it will stop at the starting point of the next window.</w:t>
      </w:r>
    </w:p>
    <w:p w14:paraId="772F1E0D" w14:textId="26F436CD" w:rsidR="00C16931" w:rsidRDefault="00666426">
      <w:pPr>
        <w:rPr>
          <w:lang w:eastAsia="zh-CN"/>
        </w:rPr>
      </w:pPr>
      <w:r>
        <w:rPr>
          <w:lang w:eastAsia="zh-CN"/>
        </w:rPr>
        <w:t xml:space="preserve">The learning cards only appear when the user’s own numbers meet the conditions, and each one only appears once. The net value retreats from its own high point by 10% or 20%, the single-day fluctuation is more than twice the standard deviation in the interval walked, and the combination deviation is more than the original setting by 5 percentage points. At the beginning of the walk-through, there will be no cards issued in the </w:t>
      </w:r>
      <w:r w:rsidR="005E1C6B">
        <w:rPr>
          <w:lang w:eastAsia="zh-CN"/>
        </w:rPr>
        <w:t xml:space="preserve">first </w:t>
      </w:r>
      <w:r>
        <w:rPr>
          <w:lang w:eastAsia="zh-CN"/>
        </w:rPr>
        <w:t xml:space="preserve">21 trading days, because before the user has a benchmark, the pop-up reminder is noisy and not suitable for teaching. Each card only says what happened and why, corresponding to the actual numbers of users, and does not evaluate the decision itself. Appendix A4 shows a real example of a journey through the Crypto Selloff in May 2021, triggering a 10% </w:t>
      </w:r>
      <w:r w:rsidR="005E1C6B">
        <w:rPr>
          <w:lang w:eastAsia="zh-CN"/>
        </w:rPr>
        <w:t>drawdown</w:t>
      </w:r>
      <w:r>
        <w:rPr>
          <w:rFonts w:hint="eastAsia"/>
          <w:lang w:eastAsia="zh-CN"/>
        </w:rPr>
        <w:t>,</w:t>
      </w:r>
      <w:r>
        <w:rPr>
          <w:lang w:eastAsia="zh-CN"/>
        </w:rPr>
        <w:t xml:space="preserve"> </w:t>
      </w:r>
      <w:r w:rsidR="005E1C6B">
        <w:rPr>
          <w:lang w:eastAsia="zh-CN"/>
        </w:rPr>
        <w:t>the</w:t>
      </w:r>
      <w:r>
        <w:rPr>
          <w:lang w:eastAsia="zh-CN"/>
        </w:rPr>
        <w:t xml:space="preserve"> 20% </w:t>
      </w:r>
      <w:r w:rsidR="005E1C6B">
        <w:rPr>
          <w:lang w:eastAsia="zh-CN"/>
        </w:rPr>
        <w:t>drawdown card, and the largest single-day movement card.</w:t>
      </w:r>
    </w:p>
    <w:p w14:paraId="523DC0CE" w14:textId="38F398DE" w:rsidR="00666426" w:rsidRDefault="005E1C6B">
      <w:pPr>
        <w:rPr>
          <w:lang w:eastAsia="zh-CN"/>
        </w:rPr>
      </w:pPr>
      <w:r>
        <w:rPr>
          <w:lang w:eastAsia="zh-CN"/>
        </w:rPr>
        <w:t>To ensure neutrality, all the copywriting of these cards is concentrated in a static structure, which is audited one by one against a list of forbidden expressions to make sure the vocabulary does not include words such as “best” and “safe”.</w:t>
      </w:r>
    </w:p>
    <w:p w14:paraId="27D7494E" w14:textId="6475A773" w:rsidR="00F65CBA" w:rsidRDefault="00F65CBA">
      <w:pPr>
        <w:rPr>
          <w:lang w:eastAsia="zh-CN"/>
        </w:rPr>
      </w:pPr>
      <w:r>
        <w:rPr>
          <w:lang w:eastAsia="zh-CN"/>
        </w:rPr>
        <w:lastRenderedPageBreak/>
        <w:t>T</w:t>
      </w:r>
      <w:r w:rsidR="00010139">
        <w:rPr>
          <w:lang w:eastAsia="zh-CN"/>
        </w:rPr>
        <w:t>he design of this app is to better help two type</w:t>
      </w:r>
      <w:r>
        <w:rPr>
          <w:lang w:eastAsia="zh-CN"/>
        </w:rPr>
        <w:t>s</w:t>
      </w:r>
      <w:r w:rsidR="00010139">
        <w:rPr>
          <w:lang w:eastAsia="zh-CN"/>
        </w:rPr>
        <w:t xml:space="preserve"> of investo</w:t>
      </w:r>
      <w:r>
        <w:rPr>
          <w:lang w:eastAsia="zh-CN"/>
        </w:rPr>
        <w:t>rs, which are novice independent investors and experienced independent investors. For the first type of investor, the app could help them make their own decisions by providing supporting evidence in plain language. And for the second type, users can switch to Professional mode to see the complete method description. The two types of users see the same set of numbers. The user journey is presented as below:</w:t>
      </w:r>
    </w:p>
    <w:p w14:paraId="136D71B4" w14:textId="0A0A30C4" w:rsidR="00F65CBA" w:rsidRPr="00393A10" w:rsidRDefault="003F5411" w:rsidP="00BA2CC6">
      <w:pPr>
        <w:rPr>
          <w:lang w:eastAsia="zh-CN"/>
        </w:rPr>
      </w:pPr>
      <w:r>
        <w:rPr>
          <w:lang w:eastAsia="zh-CN"/>
        </w:rPr>
        <w:t>First</w:t>
      </w:r>
      <w:r w:rsidR="00393A10">
        <w:rPr>
          <w:lang w:eastAsia="zh-CN"/>
        </w:rPr>
        <w:t xml:space="preserve"> </w:t>
      </w:r>
      <w:r>
        <w:rPr>
          <w:lang w:eastAsia="zh-CN"/>
        </w:rPr>
        <w:t>-</w:t>
      </w:r>
      <w:r w:rsidR="00393A10">
        <w:rPr>
          <w:lang w:eastAsia="zh-CN"/>
        </w:rPr>
        <w:t xml:space="preserve"> </w:t>
      </w:r>
      <w:r>
        <w:rPr>
          <w:lang w:eastAsia="zh-CN"/>
        </w:rPr>
        <w:t>Compar</w:t>
      </w:r>
      <w:r w:rsidR="00393A10">
        <w:rPr>
          <w:lang w:eastAsia="zh-CN"/>
        </w:rPr>
        <w:t>e</w:t>
      </w:r>
      <w:r>
        <w:rPr>
          <w:lang w:eastAsia="zh-CN"/>
        </w:rPr>
        <w:t xml:space="preserve">: the shelf table lists 13 funds on four core indicators, </w:t>
      </w:r>
      <w:r w:rsidR="00393A10">
        <w:rPr>
          <w:lang w:eastAsia="zh-CN"/>
        </w:rPr>
        <w:t>with the note that sorting changes the order instead of the quality of the fund</w:t>
      </w:r>
      <w:r w:rsidR="00393A10" w:rsidRPr="00F65CBA">
        <w:rPr>
          <w:lang w:eastAsia="zh-CN"/>
        </w:rPr>
        <w:t>.</w:t>
      </w:r>
      <w:r w:rsidR="00F65CBA" w:rsidRPr="00F65CBA">
        <w:rPr>
          <w:noProof/>
        </w:rPr>
        <w:t xml:space="preserve"> (Product view 1)</w:t>
      </w:r>
      <w:r w:rsidR="00F65CBA" w:rsidRPr="00F65CBA">
        <w:rPr>
          <w:noProof/>
        </w:rPr>
        <w:drawing>
          <wp:inline distT="0" distB="0" distL="0" distR="0" wp14:anchorId="18652864" wp14:editId="616D437D">
            <wp:extent cx="5486400" cy="3429000"/>
            <wp:effectExtent l="0" t="0" r="0" b="0"/>
            <wp:docPr id="1544579372" name="Picture 1544579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marketplace.png"/>
                    <pic:cNvPicPr/>
                  </pic:nvPicPr>
                  <pic:blipFill>
                    <a:blip r:embed="rId12"/>
                    <a:stretch>
                      <a:fillRect/>
                    </a:stretch>
                  </pic:blipFill>
                  <pic:spPr>
                    <a:xfrm>
                      <a:off x="0" y="0"/>
                      <a:ext cx="5486400" cy="3429000"/>
                    </a:xfrm>
                    <a:prstGeom prst="rect">
                      <a:avLst/>
                    </a:prstGeom>
                  </pic:spPr>
                </pic:pic>
              </a:graphicData>
            </a:graphic>
          </wp:inline>
        </w:drawing>
      </w:r>
      <w:r w:rsidR="00F65CBA" w:rsidRPr="00F65CBA">
        <w:rPr>
          <w:b/>
          <w:bCs/>
          <w:color w:val="990F3D"/>
          <w:sz w:val="18"/>
          <w:szCs w:val="18"/>
        </w:rPr>
        <w:t xml:space="preserve">Product view 1 — </w:t>
      </w:r>
      <w:r w:rsidR="00F65CBA" w:rsidRPr="00F65CBA">
        <w:rPr>
          <w:b/>
          <w:bCs/>
          <w:color w:val="6B625C"/>
          <w:sz w:val="18"/>
          <w:szCs w:val="18"/>
        </w:rPr>
        <w:t>The fund shelf: all thirteen funds compared on the four core measures (plain-English mode), with the standing note that sorting changes order, not merit.</w:t>
      </w:r>
    </w:p>
    <w:p w14:paraId="6A53E383" w14:textId="73B2174B" w:rsidR="00F65CBA" w:rsidRDefault="003F5411" w:rsidP="00BA2CC6">
      <w:pPr>
        <w:rPr>
          <w:lang w:eastAsia="zh-CN"/>
        </w:rPr>
      </w:pPr>
      <w:r>
        <w:rPr>
          <w:lang w:eastAsia="zh-CN"/>
        </w:rPr>
        <w:t>Second</w:t>
      </w:r>
      <w:r w:rsidR="00393A10">
        <w:rPr>
          <w:lang w:eastAsia="zh-CN"/>
        </w:rPr>
        <w:t xml:space="preserve"> </w:t>
      </w:r>
      <w:r>
        <w:rPr>
          <w:lang w:eastAsia="zh-CN"/>
        </w:rPr>
        <w:t>-</w:t>
      </w:r>
      <w:r w:rsidR="00393A10">
        <w:rPr>
          <w:lang w:eastAsia="zh-CN"/>
        </w:rPr>
        <w:t xml:space="preserve"> Inspect</w:t>
      </w:r>
      <w:r>
        <w:rPr>
          <w:lang w:eastAsia="zh-CN"/>
        </w:rPr>
        <w:t>: The fact sheet of each fund shows growth</w:t>
      </w:r>
      <w:r w:rsidR="00393A10">
        <w:rPr>
          <w:lang w:eastAsia="zh-CN"/>
        </w:rPr>
        <w:t xml:space="preserve"> of $1</w:t>
      </w:r>
      <w:r>
        <w:rPr>
          <w:lang w:eastAsia="zh-CN"/>
        </w:rPr>
        <w:t>, draw</w:t>
      </w:r>
      <w:r w:rsidR="007C230C">
        <w:rPr>
          <w:lang w:eastAsia="zh-CN"/>
        </w:rPr>
        <w:t>down</w:t>
      </w:r>
      <w:r>
        <w:rPr>
          <w:lang w:eastAsia="zh-CN"/>
        </w:rPr>
        <w:t>, target weight</w:t>
      </w:r>
      <w:r w:rsidR="00393A10">
        <w:rPr>
          <w:lang w:eastAsia="zh-CN"/>
        </w:rPr>
        <w:t>s</w:t>
      </w:r>
      <w:r>
        <w:rPr>
          <w:lang w:eastAsia="zh-CN"/>
        </w:rPr>
        <w:t xml:space="preserve"> and current holding</w:t>
      </w:r>
      <w:r w:rsidR="00393A10">
        <w:rPr>
          <w:lang w:eastAsia="zh-CN"/>
        </w:rPr>
        <w:t>s</w:t>
      </w:r>
      <w:r>
        <w:rPr>
          <w:lang w:eastAsia="zh-CN"/>
        </w:rPr>
        <w:t>.</w:t>
      </w:r>
      <w:r w:rsidR="00F65CBA">
        <w:rPr>
          <w:lang w:eastAsia="zh-CN"/>
        </w:rPr>
        <w:t xml:space="preserve"> (Product view 2)</w:t>
      </w:r>
      <w:r w:rsidR="00BA2CC6" w:rsidRPr="00BA2CC6">
        <w:rPr>
          <w:noProof/>
          <w:highlight w:val="yellow"/>
        </w:rPr>
        <w:t xml:space="preserve"> </w:t>
      </w:r>
      <w:r w:rsidR="00BA2CC6" w:rsidRPr="00840B21">
        <w:rPr>
          <w:noProof/>
          <w:highlight w:val="yellow"/>
        </w:rPr>
        <w:lastRenderedPageBreak/>
        <w:drawing>
          <wp:inline distT="0" distB="0" distL="0" distR="0" wp14:anchorId="681C8B17" wp14:editId="5E07FE42">
            <wp:extent cx="5486400" cy="3429000"/>
            <wp:effectExtent l="0" t="0" r="0" b="0"/>
            <wp:docPr id="960783034" name="Picture 96078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fact_sheet.png"/>
                    <pic:cNvPicPr/>
                  </pic:nvPicPr>
                  <pic:blipFill>
                    <a:blip r:embed="rId13"/>
                    <a:stretch>
                      <a:fillRect/>
                    </a:stretch>
                  </pic:blipFill>
                  <pic:spPr>
                    <a:xfrm>
                      <a:off x="0" y="0"/>
                      <a:ext cx="5486400" cy="3429000"/>
                    </a:xfrm>
                    <a:prstGeom prst="rect">
                      <a:avLst/>
                    </a:prstGeom>
                  </pic:spPr>
                </pic:pic>
              </a:graphicData>
            </a:graphic>
          </wp:inline>
        </w:drawing>
      </w:r>
      <w:r w:rsidR="00F65CBA" w:rsidRPr="00BA2CC6">
        <w:rPr>
          <w:b/>
          <w:bCs/>
          <w:color w:val="990F3D"/>
          <w:sz w:val="18"/>
          <w:szCs w:val="18"/>
        </w:rPr>
        <w:t xml:space="preserve">Product view 2 — </w:t>
      </w:r>
      <w:r w:rsidR="00F65CBA" w:rsidRPr="00BA2CC6">
        <w:rPr>
          <w:b/>
          <w:bCs/>
          <w:color w:val="6B625C"/>
          <w:sz w:val="18"/>
          <w:szCs w:val="18"/>
        </w:rPr>
        <w:t>A fund fact sheet: headline measures with reading instructions, the one-line method description, and the construction block showing the rule applied to the fund's own latest numbers.</w:t>
      </w:r>
    </w:p>
    <w:p w14:paraId="526FB7DC" w14:textId="77777777" w:rsidR="00BA2CC6" w:rsidRDefault="00BA2CC6" w:rsidP="00BA2CC6">
      <w:pPr>
        <w:jc w:val="center"/>
        <w:rPr>
          <w:lang w:eastAsia="zh-CN"/>
        </w:rPr>
      </w:pPr>
      <w:r>
        <w:rPr>
          <w:lang w:eastAsia="zh-CN"/>
        </w:rPr>
        <w:br/>
      </w:r>
    </w:p>
    <w:p w14:paraId="33EC9162" w14:textId="2F887C8B" w:rsidR="00F65CBA" w:rsidRDefault="00BA2CC6" w:rsidP="00BA2CC6">
      <w:pPr>
        <w:rPr>
          <w:noProof/>
        </w:rPr>
      </w:pPr>
      <w:r>
        <w:rPr>
          <w:lang w:eastAsia="zh-CN"/>
        </w:rPr>
        <w:br w:type="page"/>
      </w:r>
      <w:r w:rsidR="003F5411">
        <w:rPr>
          <w:lang w:eastAsia="zh-CN"/>
        </w:rPr>
        <w:lastRenderedPageBreak/>
        <w:t>Th</w:t>
      </w:r>
      <w:r w:rsidR="002F7CD2">
        <w:rPr>
          <w:lang w:eastAsia="zh-CN"/>
        </w:rPr>
        <w:t>ird</w:t>
      </w:r>
      <w:r w:rsidR="00393A10">
        <w:rPr>
          <w:lang w:eastAsia="zh-CN"/>
        </w:rPr>
        <w:t xml:space="preserve"> </w:t>
      </w:r>
      <w:r w:rsidR="002F7CD2">
        <w:rPr>
          <w:lang w:eastAsia="zh-CN"/>
        </w:rPr>
        <w:t>-</w:t>
      </w:r>
      <w:r w:rsidR="00393A10">
        <w:rPr>
          <w:lang w:eastAsia="zh-CN"/>
        </w:rPr>
        <w:t xml:space="preserve"> Allocate</w:t>
      </w:r>
      <w:r w:rsidR="003F5411">
        <w:rPr>
          <w:lang w:eastAsia="zh-CN"/>
        </w:rPr>
        <w:t xml:space="preserve">: The user enters a dollar amount and allocates it to each fund, and the historical performance of the portfolio will be given </w:t>
      </w:r>
      <w:r w:rsidR="003F5411" w:rsidRPr="00BA2CC6">
        <w:rPr>
          <w:lang w:eastAsia="zh-CN"/>
        </w:rPr>
        <w:t xml:space="preserve">together </w:t>
      </w:r>
      <w:r w:rsidR="002F7CD2" w:rsidRPr="00BA2CC6">
        <w:rPr>
          <w:lang w:eastAsia="zh-CN"/>
        </w:rPr>
        <w:t>with all assumptions.</w:t>
      </w:r>
      <w:r w:rsidR="00F65CBA" w:rsidRPr="00BA2CC6">
        <w:rPr>
          <w:noProof/>
        </w:rPr>
        <w:t xml:space="preserve"> (Product view 3)</w:t>
      </w:r>
    </w:p>
    <w:p w14:paraId="25864BFA" w14:textId="6C4843A7" w:rsidR="00F65CBA" w:rsidRPr="001F26F5" w:rsidRDefault="001F26F5" w:rsidP="00F65CBA">
      <w:pPr>
        <w:rPr>
          <w:lang w:eastAsia="zh-CN"/>
        </w:rPr>
      </w:pPr>
      <w:r>
        <w:rPr>
          <w:noProof/>
          <w:lang w:eastAsia="zh-CN"/>
        </w:rPr>
        <w:drawing>
          <wp:inline distT="0" distB="0" distL="0" distR="0" wp14:anchorId="10637344" wp14:editId="614A85E9">
            <wp:extent cx="5486400" cy="6737985"/>
            <wp:effectExtent l="0" t="0" r="0" b="5715"/>
            <wp:docPr id="14113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2302" name="Picture 141132302"/>
                    <pic:cNvPicPr/>
                  </pic:nvPicPr>
                  <pic:blipFill>
                    <a:blip r:embed="rId14"/>
                    <a:stretch>
                      <a:fillRect/>
                    </a:stretch>
                  </pic:blipFill>
                  <pic:spPr>
                    <a:xfrm>
                      <a:off x="0" y="0"/>
                      <a:ext cx="5486400" cy="6737985"/>
                    </a:xfrm>
                    <a:prstGeom prst="rect">
                      <a:avLst/>
                    </a:prstGeom>
                  </pic:spPr>
                </pic:pic>
              </a:graphicData>
            </a:graphic>
          </wp:inline>
        </w:drawing>
      </w:r>
      <w:r w:rsidRPr="001F26F5">
        <w:rPr>
          <w:b/>
          <w:bCs/>
          <w:color w:val="990F3D"/>
          <w:sz w:val="18"/>
          <w:szCs w:val="18"/>
        </w:rPr>
        <w:t xml:space="preserve">Product view 3 — </w:t>
      </w:r>
      <w:r w:rsidRPr="001F26F5">
        <w:rPr>
          <w:b/>
          <w:bCs/>
          <w:color w:val="6B625C"/>
          <w:sz w:val="18"/>
          <w:szCs w:val="18"/>
        </w:rPr>
        <w:t>The allocation step: a dollar amount is entered first, then placed across the funds, with each fund's live share of the mix shown as it is typed</w:t>
      </w:r>
    </w:p>
    <w:p w14:paraId="77D3EA11" w14:textId="77777777" w:rsidR="00F65CBA" w:rsidRDefault="00F65CBA">
      <w:pPr>
        <w:rPr>
          <w:lang w:eastAsia="zh-CN"/>
        </w:rPr>
      </w:pPr>
      <w:r>
        <w:rPr>
          <w:lang w:eastAsia="zh-CN"/>
        </w:rPr>
        <w:br w:type="page"/>
      </w:r>
    </w:p>
    <w:p w14:paraId="73C4B324" w14:textId="67C37B8E" w:rsidR="00701AB9" w:rsidRDefault="00F65CBA" w:rsidP="00BA2CC6">
      <w:pPr>
        <w:rPr>
          <w:noProof/>
          <w:lang w:eastAsia="zh-CN"/>
        </w:rPr>
      </w:pPr>
      <w:r>
        <w:rPr>
          <w:lang w:eastAsia="zh-CN"/>
        </w:rPr>
        <w:lastRenderedPageBreak/>
        <w:t>F</w:t>
      </w:r>
      <w:r w:rsidR="002F7CD2">
        <w:rPr>
          <w:lang w:eastAsia="zh-CN"/>
        </w:rPr>
        <w:t>ourth</w:t>
      </w:r>
      <w:r w:rsidR="00393A10">
        <w:rPr>
          <w:lang w:eastAsia="zh-CN"/>
        </w:rPr>
        <w:t xml:space="preserve"> </w:t>
      </w:r>
      <w:r w:rsidR="002F7CD2">
        <w:rPr>
          <w:lang w:eastAsia="zh-CN"/>
        </w:rPr>
        <w:t>-</w:t>
      </w:r>
      <w:r w:rsidR="00393A10">
        <w:rPr>
          <w:lang w:eastAsia="zh-CN"/>
        </w:rPr>
        <w:t xml:space="preserve"> </w:t>
      </w:r>
      <w:r w:rsidR="002F7CD2">
        <w:rPr>
          <w:lang w:eastAsia="zh-CN"/>
        </w:rPr>
        <w:t>Explor</w:t>
      </w:r>
      <w:r w:rsidR="00393A10">
        <w:rPr>
          <w:lang w:eastAsia="zh-CN"/>
        </w:rPr>
        <w:t>e</w:t>
      </w:r>
      <w:r w:rsidR="002F7CD2">
        <w:rPr>
          <w:lang w:eastAsia="zh-CN"/>
        </w:rPr>
        <w:t>: The sentiment page provides a multiple-choice comparison and standardized view of the industry index. The permanent sentence is that it describes the tone of news and does not represent a trading signal.</w:t>
      </w:r>
      <w:r>
        <w:rPr>
          <w:lang w:eastAsia="zh-CN"/>
        </w:rPr>
        <w:t xml:space="preserve"> </w:t>
      </w:r>
      <w:r w:rsidR="00701AB9">
        <w:rPr>
          <w:noProof/>
          <w:lang w:eastAsia="zh-CN"/>
        </w:rPr>
        <w:t>(Product view 3)</w:t>
      </w:r>
    </w:p>
    <w:p w14:paraId="1B42C2C4" w14:textId="42C890C7" w:rsidR="00701AB9" w:rsidRPr="00BA2CC6" w:rsidRDefault="00701AB9" w:rsidP="00BA2CC6">
      <w:pPr>
        <w:rPr>
          <w:noProof/>
          <w:lang w:eastAsia="zh-CN"/>
        </w:rPr>
      </w:pPr>
      <w:r w:rsidRPr="00BA2CC6">
        <w:rPr>
          <w:noProof/>
        </w:rPr>
        <w:drawing>
          <wp:inline distT="0" distB="0" distL="0" distR="0" wp14:anchorId="28E7A80E" wp14:editId="5A26E27F">
            <wp:extent cx="5486400" cy="3429000"/>
            <wp:effectExtent l="0" t="0" r="0" b="0"/>
            <wp:docPr id="1536942778" name="Picture 153694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sentiment.png"/>
                    <pic:cNvPicPr/>
                  </pic:nvPicPr>
                  <pic:blipFill>
                    <a:blip r:embed="rId15"/>
                    <a:stretch>
                      <a:fillRect/>
                    </a:stretch>
                  </pic:blipFill>
                  <pic:spPr>
                    <a:xfrm>
                      <a:off x="0" y="0"/>
                      <a:ext cx="5486400" cy="3429000"/>
                    </a:xfrm>
                    <a:prstGeom prst="rect">
                      <a:avLst/>
                    </a:prstGeom>
                  </pic:spPr>
                </pic:pic>
              </a:graphicData>
            </a:graphic>
          </wp:inline>
        </w:drawing>
      </w:r>
      <w:r w:rsidRPr="00BA2CC6">
        <w:rPr>
          <w:b/>
          <w:bCs/>
          <w:color w:val="990F3D"/>
          <w:sz w:val="18"/>
          <w:szCs w:val="18"/>
        </w:rPr>
        <w:t xml:space="preserve">Product view </w:t>
      </w:r>
      <w:r>
        <w:rPr>
          <w:b/>
          <w:bCs/>
          <w:color w:val="990F3D"/>
          <w:sz w:val="18"/>
          <w:szCs w:val="18"/>
        </w:rPr>
        <w:t>4</w:t>
      </w:r>
      <w:r w:rsidRPr="00BA2CC6">
        <w:rPr>
          <w:b/>
          <w:bCs/>
          <w:color w:val="990F3D"/>
          <w:sz w:val="18"/>
          <w:szCs w:val="18"/>
        </w:rPr>
        <w:t xml:space="preserve"> — </w:t>
      </w:r>
      <w:r w:rsidRPr="00BA2CC6">
        <w:rPr>
          <w:b/>
          <w:bCs/>
          <w:color w:val="6B625C"/>
          <w:sz w:val="18"/>
          <w:szCs w:val="18"/>
        </w:rPr>
        <w:t>The sentiment tab: sector news tone with multi-select comparison and the standardized view, under the permanent not-a-signal disclaimer.</w:t>
      </w:r>
    </w:p>
    <w:p w14:paraId="07661524" w14:textId="54E84865" w:rsidR="002F7CD2" w:rsidRDefault="002F7CD2" w:rsidP="00393A10">
      <w:pPr>
        <w:rPr>
          <w:lang w:eastAsia="zh-CN"/>
        </w:rPr>
      </w:pPr>
      <w:r>
        <w:rPr>
          <w:lang w:eastAsia="zh-CN"/>
        </w:rPr>
        <w:t xml:space="preserve">The saved combination will </w:t>
      </w:r>
      <w:r w:rsidR="001025BB">
        <w:rPr>
          <w:lang w:eastAsia="zh-CN"/>
        </w:rPr>
        <w:t>be added to</w:t>
      </w:r>
      <w:r>
        <w:rPr>
          <w:lang w:eastAsia="zh-CN"/>
        </w:rPr>
        <w:t xml:space="preserve"> My </w:t>
      </w:r>
      <w:r w:rsidR="00393A10">
        <w:rPr>
          <w:lang w:eastAsia="zh-CN"/>
        </w:rPr>
        <w:t>P</w:t>
      </w:r>
      <w:r>
        <w:rPr>
          <w:lang w:eastAsia="zh-CN"/>
        </w:rPr>
        <w:t>ortfolio and can be sent back to the practice area for a time machine walkthrough at any time</w:t>
      </w:r>
      <w:r w:rsidR="00701AB9">
        <w:rPr>
          <w:lang w:eastAsia="zh-CN"/>
        </w:rPr>
        <w:t xml:space="preserve"> (Product view </w:t>
      </w:r>
      <w:r w:rsidR="001025BB">
        <w:rPr>
          <w:lang w:eastAsia="zh-CN"/>
        </w:rPr>
        <w:t>5</w:t>
      </w:r>
      <w:r w:rsidR="00701AB9">
        <w:rPr>
          <w:lang w:eastAsia="zh-CN"/>
        </w:rPr>
        <w:t>)</w:t>
      </w:r>
      <w:r>
        <w:rPr>
          <w:lang w:eastAsia="zh-CN"/>
        </w:rPr>
        <w:t xml:space="preserve">. Keep the same line for the whole journey that </w:t>
      </w:r>
      <w:proofErr w:type="spellStart"/>
      <w:r>
        <w:rPr>
          <w:lang w:eastAsia="zh-CN"/>
        </w:rPr>
        <w:t>HyperInvest</w:t>
      </w:r>
      <w:proofErr w:type="spellEnd"/>
      <w:r>
        <w:rPr>
          <w:lang w:eastAsia="zh-CN"/>
        </w:rPr>
        <w:t xml:space="preserve"> is an evidence layer</w:t>
      </w:r>
      <w:r w:rsidR="00393A10">
        <w:rPr>
          <w:lang w:eastAsia="zh-CN"/>
        </w:rPr>
        <w:t xml:space="preserve"> rather than an advice layer</w:t>
      </w:r>
      <w:r>
        <w:rPr>
          <w:lang w:eastAsia="zh-CN"/>
        </w:rPr>
        <w:t xml:space="preserve">, and the app itself does not recommend any fund; no </w:t>
      </w:r>
      <w:r w:rsidR="00393A10">
        <w:rPr>
          <w:lang w:eastAsia="zh-CN"/>
        </w:rPr>
        <w:t xml:space="preserve">mixed </w:t>
      </w:r>
      <w:r>
        <w:rPr>
          <w:lang w:eastAsia="zh-CN"/>
        </w:rPr>
        <w:t>is scored, and it is always decided to leave it to users,</w:t>
      </w:r>
    </w:p>
    <w:p w14:paraId="26856362" w14:textId="42A6C1B8" w:rsidR="00701AB9" w:rsidRPr="003F5411" w:rsidRDefault="00701AB9" w:rsidP="00393A10">
      <w:pPr>
        <w:rPr>
          <w:lang w:eastAsia="zh-CN"/>
        </w:rPr>
      </w:pPr>
      <w:r w:rsidRPr="00840B21">
        <w:rPr>
          <w:noProof/>
          <w:highlight w:val="yellow"/>
        </w:rPr>
        <w:lastRenderedPageBreak/>
        <w:drawing>
          <wp:inline distT="0" distB="0" distL="0" distR="0" wp14:anchorId="1B7AD7F3" wp14:editId="52BB3348">
            <wp:extent cx="5486400" cy="3429000"/>
            <wp:effectExtent l="0" t="0" r="4445" b="2540"/>
            <wp:docPr id="65491481" name="Picture 6549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blind_walk.png"/>
                    <pic:cNvPicPr/>
                  </pic:nvPicPr>
                  <pic:blipFill>
                    <a:blip r:embed="rId16"/>
                    <a:stretch>
                      <a:fillRect/>
                    </a:stretch>
                  </pic:blipFill>
                  <pic:spPr>
                    <a:xfrm>
                      <a:off x="0" y="0"/>
                      <a:ext cx="5486400" cy="3429000"/>
                    </a:xfrm>
                    <a:prstGeom prst="rect">
                      <a:avLst/>
                    </a:prstGeom>
                  </pic:spPr>
                </pic:pic>
              </a:graphicData>
            </a:graphic>
          </wp:inline>
        </w:drawing>
      </w:r>
      <w:r w:rsidRPr="00BA2CC6">
        <w:rPr>
          <w:b/>
          <w:bCs/>
          <w:color w:val="990F3D"/>
          <w:sz w:val="18"/>
          <w:szCs w:val="18"/>
        </w:rPr>
        <w:t xml:space="preserve">Product view </w:t>
      </w:r>
      <w:r>
        <w:rPr>
          <w:b/>
          <w:bCs/>
          <w:color w:val="990F3D"/>
          <w:sz w:val="18"/>
          <w:szCs w:val="18"/>
        </w:rPr>
        <w:t>5</w:t>
      </w:r>
      <w:r w:rsidRPr="00BA2CC6">
        <w:rPr>
          <w:b/>
          <w:bCs/>
          <w:color w:val="990F3D"/>
          <w:sz w:val="18"/>
          <w:szCs w:val="18"/>
        </w:rPr>
        <w:t xml:space="preserve"> — </w:t>
      </w:r>
      <w:r w:rsidRPr="00BA2CC6">
        <w:rPr>
          <w:b/>
          <w:bCs/>
          <w:color w:val="6B625C"/>
          <w:sz w:val="18"/>
          <w:szCs w:val="18"/>
        </w:rPr>
        <w:t>The Practice time machine in Blind walk: the future is hidden, a turbulent stretch (the May 2021 crypto sell-off) slows travel to daily steps, and forward movement pauses at window starts.</w:t>
      </w:r>
    </w:p>
    <w:p w14:paraId="62726D64" w14:textId="77777777" w:rsidR="00094FB7" w:rsidRPr="00393A10" w:rsidRDefault="00000000">
      <w:pPr>
        <w:pStyle w:val="Heading1"/>
      </w:pPr>
      <w:r w:rsidRPr="00393A10">
        <w:t>6. Critical reflection and recommendations</w:t>
      </w:r>
    </w:p>
    <w:p w14:paraId="266D4BFD" w14:textId="7876D558" w:rsidR="00F06D2C" w:rsidRDefault="00F06D2C">
      <w:pPr>
        <w:rPr>
          <w:lang w:eastAsia="zh-CN"/>
        </w:rPr>
      </w:pPr>
      <w:r w:rsidRPr="00F06D2C">
        <w:rPr>
          <w:lang w:eastAsia="zh-CN"/>
        </w:rPr>
        <w:t>After review</w:t>
      </w:r>
      <w:r>
        <w:rPr>
          <w:lang w:eastAsia="zh-CN"/>
        </w:rPr>
        <w:t>ing</w:t>
      </w:r>
      <w:r w:rsidRPr="00F06D2C">
        <w:rPr>
          <w:lang w:eastAsia="zh-CN"/>
        </w:rPr>
        <w:t xml:space="preserve"> the whole project, the most effective thing is not a certain result, but discipline.</w:t>
      </w:r>
      <w:r w:rsidR="002E3040">
        <w:rPr>
          <w:lang w:eastAsia="zh-CN"/>
        </w:rPr>
        <w:t xml:space="preserve"> The weight is only formed by past data, the </w:t>
      </w:r>
      <w:r w:rsidR="00507E9A">
        <w:rPr>
          <w:lang w:eastAsia="zh-CN"/>
        </w:rPr>
        <w:t>sentiment</w:t>
      </w:r>
      <w:r w:rsidR="002E3040">
        <w:rPr>
          <w:lang w:eastAsia="zh-CN"/>
        </w:rPr>
        <w:t xml:space="preserve"> signals </w:t>
      </w:r>
      <w:r w:rsidR="00F31E73">
        <w:rPr>
          <w:lang w:eastAsia="zh-CN"/>
        </w:rPr>
        <w:t>are</w:t>
      </w:r>
      <w:r w:rsidR="002E3040">
        <w:rPr>
          <w:lang w:eastAsia="zh-CN"/>
        </w:rPr>
        <w:t xml:space="preserve"> forced to lag one trading day, and the output of the solver is compared across methods every time it is constructed. These checks detected mistakes. The </w:t>
      </w:r>
      <w:r w:rsidR="00F463CD">
        <w:rPr>
          <w:lang w:eastAsia="zh-CN"/>
        </w:rPr>
        <w:t>solver’s silent stalling</w:t>
      </w:r>
      <w:r w:rsidR="002E3040">
        <w:rPr>
          <w:lang w:eastAsia="zh-CN"/>
        </w:rPr>
        <w:t xml:space="preserve"> and the </w:t>
      </w:r>
      <w:r w:rsidR="00F463CD">
        <w:rPr>
          <w:lang w:eastAsia="zh-CN"/>
        </w:rPr>
        <w:t>look-ahead in the sentiment signal were caught in this way</w:t>
      </w:r>
      <w:r w:rsidR="002E3040">
        <w:rPr>
          <w:lang w:eastAsia="zh-CN"/>
        </w:rPr>
        <w:t>. Another valid judgment is that neutrality and usefulness can coexist; the plain language teaches how to read and understand the evidenc</w:t>
      </w:r>
      <w:r w:rsidR="00F463CD">
        <w:rPr>
          <w:lang w:eastAsia="zh-CN"/>
        </w:rPr>
        <w:t>e, not choose for users.</w:t>
      </w:r>
    </w:p>
    <w:p w14:paraId="65C761B7" w14:textId="0529F063" w:rsidR="00507E9A" w:rsidRDefault="00507E9A">
      <w:pPr>
        <w:rPr>
          <w:lang w:eastAsia="zh-CN"/>
        </w:rPr>
      </w:pPr>
      <w:r>
        <w:rPr>
          <w:lang w:eastAsia="zh-CN"/>
        </w:rPr>
        <w:t xml:space="preserve">The unsuccessful part also has a lot of information. Sentiment tilt reduces value, and post-analysis is more useful than the result itself. The signal is real but noisy, and the noise is directly folded into the weight, which shows that it is an unnecessary position adjustment, not an advantage. The three explicit simplifications qualify all the conclusions: zero transaction costs, zero risk-free interest rates, and the sample </w:t>
      </w:r>
      <w:r w:rsidR="001025BB">
        <w:rPr>
          <w:lang w:eastAsia="zh-CN"/>
        </w:rPr>
        <w:t>end</w:t>
      </w:r>
      <w:r>
        <w:rPr>
          <w:lang w:eastAsia="zh-CN"/>
        </w:rPr>
        <w:t xml:space="preserve"> on 29 December 2023, so this product does not have a word to describe today’s market.</w:t>
      </w:r>
    </w:p>
    <w:p w14:paraId="290404AE" w14:textId="783BC44F" w:rsidR="00F463CD" w:rsidRDefault="00F463CD">
      <w:pPr>
        <w:rPr>
          <w:lang w:eastAsia="zh-CN"/>
        </w:rPr>
      </w:pPr>
      <w:r>
        <w:rPr>
          <w:lang w:eastAsia="zh-CN"/>
        </w:rPr>
        <w:t>In addition, there is another function in the practice area that only ha</w:t>
      </w:r>
      <w:r w:rsidR="007C230C">
        <w:rPr>
          <w:lang w:eastAsia="zh-CN"/>
        </w:rPr>
        <w:t>s</w:t>
      </w:r>
      <w:r>
        <w:rPr>
          <w:lang w:eastAsia="zh-CN"/>
        </w:rPr>
        <w:t xml:space="preserve"> the design idea but </w:t>
      </w:r>
      <w:r w:rsidR="007C230C">
        <w:rPr>
          <w:lang w:eastAsia="zh-CN"/>
        </w:rPr>
        <w:t xml:space="preserve">is </w:t>
      </w:r>
      <w:r>
        <w:rPr>
          <w:lang w:eastAsia="zh-CN"/>
        </w:rPr>
        <w:t>not implemented in the app, which is the settlement page. Now</w:t>
      </w:r>
      <w:r w:rsidR="007C230C">
        <w:rPr>
          <w:lang w:eastAsia="zh-CN"/>
        </w:rPr>
        <w:t>,</w:t>
      </w:r>
      <w:r>
        <w:rPr>
          <w:lang w:eastAsia="zh-CN"/>
        </w:rPr>
        <w:t xml:space="preserve"> after the journey, users can only see the contrast between their own path and </w:t>
      </w:r>
      <w:r w:rsidR="009A0820">
        <w:rPr>
          <w:lang w:eastAsia="zh-CN"/>
        </w:rPr>
        <w:t>doing nothing</w:t>
      </w:r>
      <w:r>
        <w:rPr>
          <w:lang w:eastAsia="zh-CN"/>
        </w:rPr>
        <w:t xml:space="preserve">. The settlement page will clearly calculate how much profit and loss each adjustment brings, so that users can see which decisions are useful and which are not. This is the first function to be done in the future of </w:t>
      </w:r>
      <w:proofErr w:type="spellStart"/>
      <w:r>
        <w:rPr>
          <w:lang w:eastAsia="zh-CN"/>
        </w:rPr>
        <w:t>HyperInvest</w:t>
      </w:r>
      <w:proofErr w:type="spellEnd"/>
      <w:r>
        <w:rPr>
          <w:lang w:eastAsia="zh-CN"/>
        </w:rPr>
        <w:t>.</w:t>
      </w:r>
    </w:p>
    <w:p w14:paraId="3116C412" w14:textId="18661937" w:rsidR="007C230C" w:rsidRDefault="00F463CD">
      <w:pPr>
        <w:rPr>
          <w:lang w:eastAsia="zh-CN"/>
        </w:rPr>
      </w:pPr>
      <w:r>
        <w:rPr>
          <w:lang w:eastAsia="zh-CN"/>
        </w:rPr>
        <w:lastRenderedPageBreak/>
        <w:t>There are three specific suggestions based on evidence. First, before believing in the advantage of any optimization fund, add the transaction</w:t>
      </w:r>
      <w:r w:rsidR="007C230C">
        <w:rPr>
          <w:lang w:eastAsia="zh-CN"/>
        </w:rPr>
        <w:t>-</w:t>
      </w:r>
      <w:r>
        <w:rPr>
          <w:lang w:eastAsia="zh-CN"/>
        </w:rPr>
        <w:t xml:space="preserve">cost and </w:t>
      </w:r>
      <w:r w:rsidR="007C230C">
        <w:rPr>
          <w:lang w:eastAsia="zh-CN"/>
        </w:rPr>
        <w:t>turnover</w:t>
      </w:r>
      <w:r>
        <w:rPr>
          <w:lang w:eastAsia="zh-CN"/>
        </w:rPr>
        <w:t xml:space="preserve"> model. Appendix A2 and A2b show that </w:t>
      </w:r>
      <w:r w:rsidR="007C230C">
        <w:rPr>
          <w:lang w:eastAsia="zh-CN"/>
        </w:rPr>
        <w:t xml:space="preserve">some funds replace the whole portfolio </w:t>
      </w:r>
      <w:r w:rsidR="009A0820">
        <w:rPr>
          <w:lang w:eastAsia="zh-CN"/>
        </w:rPr>
        <w:t>in a single rebalance</w:t>
      </w:r>
      <w:r w:rsidR="007C230C">
        <w:rPr>
          <w:lang w:eastAsia="zh-CN"/>
        </w:rPr>
        <w:t xml:space="preserve">. Even if only a few basis points are collected for each transaction, the ranking given in this report may be rearranged. Second, if the product </w:t>
      </w:r>
      <w:r w:rsidR="009A0820">
        <w:rPr>
          <w:lang w:eastAsia="zh-CN"/>
        </w:rPr>
        <w:t>go</w:t>
      </w:r>
      <w:r w:rsidR="007C230C">
        <w:rPr>
          <w:lang w:eastAsia="zh-CN"/>
        </w:rPr>
        <w:t xml:space="preserve">es </w:t>
      </w:r>
      <w:r w:rsidR="009A0820">
        <w:rPr>
          <w:lang w:eastAsia="zh-CN"/>
        </w:rPr>
        <w:t>liv</w:t>
      </w:r>
      <w:r w:rsidR="007C230C">
        <w:rPr>
          <w:lang w:eastAsia="zh-CN"/>
        </w:rPr>
        <w:t xml:space="preserve">e instead of a prototype, refresh the </w:t>
      </w:r>
      <w:r w:rsidR="009A0820">
        <w:rPr>
          <w:lang w:eastAsia="zh-CN"/>
        </w:rPr>
        <w:t>data nightly and re-run the pipeline, so the evidence stays current to the day before</w:t>
      </w:r>
      <w:r w:rsidR="007C230C">
        <w:rPr>
          <w:lang w:eastAsia="zh-CN"/>
        </w:rPr>
        <w:t xml:space="preserve">. The architecture supports running every day, and the boundary does not need to be moved; the application will show </w:t>
      </w:r>
      <w:r w:rsidR="009A0820">
        <w:rPr>
          <w:rFonts w:hint="eastAsia"/>
          <w:lang w:eastAsia="zh-CN"/>
        </w:rPr>
        <w:t>nothing</w:t>
      </w:r>
      <w:r w:rsidR="009A0820">
        <w:rPr>
          <w:lang w:eastAsia="zh-CN"/>
        </w:rPr>
        <w:t xml:space="preserve"> beyond the sample.</w:t>
      </w:r>
      <w:r w:rsidR="007C230C">
        <w:rPr>
          <w:lang w:eastAsia="zh-CN"/>
        </w:rPr>
        <w:t xml:space="preserve"> Third, add an optimization method that considers tail risk, such as conditional value at risk (mean-CVaR). The deep drawdown in 2022 is the tail event that is easily underestimated by the variance target. The method of tail loss pricing can be used to test whether the current drawdown ranking can stand under a stricter risk definition.</w:t>
      </w:r>
    </w:p>
    <w:p w14:paraId="2F055924" w14:textId="67936880" w:rsidR="007C230C" w:rsidRPr="00840B21" w:rsidRDefault="007C230C" w:rsidP="007C230C">
      <w:pPr>
        <w:rPr>
          <w:lang w:eastAsia="zh-CN"/>
        </w:rPr>
      </w:pPr>
      <w:r>
        <w:rPr>
          <w:lang w:eastAsia="zh-CN"/>
        </w:rPr>
        <w:t xml:space="preserve">The lesson worth mentioning in the process is that the verification check should be written first, and the model should be built later. Every check in this project immediately </w:t>
      </w:r>
      <w:r w:rsidR="009A0820">
        <w:rPr>
          <w:lang w:eastAsia="zh-CN"/>
        </w:rPr>
        <w:t>caught</w:t>
      </w:r>
      <w:r>
        <w:rPr>
          <w:lang w:eastAsia="zh-CN"/>
        </w:rPr>
        <w:t xml:space="preserve"> errors. The earlier the inspection exists, the cheaper the errors it catches.</w:t>
      </w:r>
    </w:p>
    <w:p w14:paraId="0A65B4A1" w14:textId="77777777" w:rsidR="00094FB7" w:rsidRPr="009A0820" w:rsidRDefault="00000000">
      <w:pPr>
        <w:pStyle w:val="Heading1"/>
      </w:pPr>
      <w:r w:rsidRPr="009A0820">
        <w:t>AI workflow statement</w:t>
      </w:r>
    </w:p>
    <w:p w14:paraId="7ACF36E9" w14:textId="32F70324" w:rsidR="00094FB7" w:rsidRDefault="0077088C">
      <w:pPr>
        <w:rPr>
          <w:rFonts w:hint="eastAsia"/>
          <w:lang w:eastAsia="zh-CN"/>
        </w:rPr>
      </w:pPr>
      <w:r>
        <w:rPr>
          <w:lang w:eastAsia="zh-CN"/>
        </w:rPr>
        <w:t xml:space="preserve">The code, </w:t>
      </w:r>
      <w:proofErr w:type="spellStart"/>
      <w:r>
        <w:rPr>
          <w:lang w:eastAsia="zh-CN"/>
        </w:rPr>
        <w:t>backtest</w:t>
      </w:r>
      <w:proofErr w:type="spellEnd"/>
      <w:r>
        <w:rPr>
          <w:lang w:eastAsia="zh-CN"/>
        </w:rPr>
        <w:t>,</w:t>
      </w:r>
      <w:r w:rsidR="00F31E73">
        <w:rPr>
          <w:lang w:eastAsia="zh-CN"/>
        </w:rPr>
        <w:t xml:space="preserve"> sentiment</w:t>
      </w:r>
      <w:r>
        <w:rPr>
          <w:lang w:eastAsia="zh-CN"/>
        </w:rPr>
        <w:t xml:space="preserve"> index, and application of this project are completed by a single AI agent, Kimi Code CLI, under my command. Every substantive change is approved or rejected by me, and the product and modeling decisions are made by me. I review the results by executing code to </w:t>
      </w:r>
      <w:r w:rsidR="00094986">
        <w:rPr>
          <w:lang w:eastAsia="zh-CN"/>
        </w:rPr>
        <w:t>ensur</w:t>
      </w:r>
      <w:r>
        <w:rPr>
          <w:lang w:eastAsia="zh-CN"/>
        </w:rPr>
        <w:t xml:space="preserve">e </w:t>
      </w:r>
      <w:r w:rsidR="00094986">
        <w:rPr>
          <w:lang w:eastAsia="zh-CN"/>
        </w:rPr>
        <w:t>they</w:t>
      </w:r>
      <w:r>
        <w:rPr>
          <w:lang w:eastAsia="zh-CN"/>
        </w:rPr>
        <w:t xml:space="preserve"> </w:t>
      </w:r>
      <w:r w:rsidR="00094986">
        <w:rPr>
          <w:lang w:eastAsia="zh-CN"/>
        </w:rPr>
        <w:t>are</w:t>
      </w:r>
      <w:r>
        <w:rPr>
          <w:lang w:eastAsia="zh-CN"/>
        </w:rPr>
        <w:t xml:space="preserve"> correct. This report was </w:t>
      </w:r>
      <w:r w:rsidR="00094986">
        <w:rPr>
          <w:lang w:eastAsia="zh-CN"/>
        </w:rPr>
        <w:t>initially generated as a draft by AI, and I then rewrote it</w:t>
      </w:r>
      <w:r>
        <w:rPr>
          <w:lang w:eastAsia="zh-CN"/>
        </w:rPr>
        <w:t xml:space="preserve"> in my own words. </w:t>
      </w:r>
      <w:r w:rsidR="00094986">
        <w:rPr>
          <w:lang w:eastAsia="zh-CN"/>
        </w:rPr>
        <w:t>During</w:t>
      </w:r>
      <w:r>
        <w:rPr>
          <w:lang w:eastAsia="zh-CN"/>
        </w:rPr>
        <w:t xml:space="preserve"> the writing</w:t>
      </w:r>
      <w:r w:rsidR="00094986">
        <w:rPr>
          <w:lang w:eastAsia="zh-CN"/>
        </w:rPr>
        <w:t xml:space="preserve"> process</w:t>
      </w:r>
      <w:r>
        <w:rPr>
          <w:lang w:eastAsia="zh-CN"/>
        </w:rPr>
        <w:t>, Grammarly was used for basic editing assistance, such as fixing typos</w:t>
      </w:r>
      <w:r w:rsidR="00094986">
        <w:rPr>
          <w:lang w:eastAsia="zh-CN"/>
        </w:rPr>
        <w:t>,</w:t>
      </w:r>
      <w:r>
        <w:rPr>
          <w:lang w:eastAsia="zh-CN"/>
        </w:rPr>
        <w:t xml:space="preserve"> misspellings</w:t>
      </w:r>
      <w:r w:rsidR="00094986">
        <w:rPr>
          <w:lang w:eastAsia="zh-CN"/>
        </w:rPr>
        <w:t>, and grammatical errors</w:t>
      </w:r>
      <w:r>
        <w:rPr>
          <w:lang w:eastAsia="zh-CN"/>
        </w:rPr>
        <w:t>. AI was also used to check logic and numbers.</w:t>
      </w:r>
      <w:r w:rsidR="00094986">
        <w:rPr>
          <w:lang w:eastAsia="zh-CN"/>
        </w:rPr>
        <w:t xml:space="preserve"> The logic </w:t>
      </w:r>
      <w:r w:rsidR="00094986">
        <w:rPr>
          <w:lang w:eastAsia="zh-CN"/>
        </w:rPr>
        <w:t>in some parts of the report was originally incorrect and messy; I fixed it and polished it using</w:t>
      </w:r>
      <w:r w:rsidR="00094986">
        <w:rPr>
          <w:lang w:eastAsia="zh-CN"/>
        </w:rPr>
        <w:t xml:space="preserve"> AI. </w:t>
      </w:r>
      <w:proofErr w:type="spellStart"/>
      <w:r>
        <w:rPr>
          <w:lang w:eastAsia="zh-CN"/>
        </w:rPr>
        <w:t>The</w:t>
      </w:r>
      <w:proofErr w:type="spellEnd"/>
      <w:r>
        <w:rPr>
          <w:lang w:eastAsia="zh-CN"/>
        </w:rPr>
        <w:t xml:space="preserve"> complete prompt record can be found in ai/prompt_log.md, and the proxy instruction file</w:t>
      </w:r>
      <w:r w:rsidR="00094986">
        <w:rPr>
          <w:lang w:eastAsia="zh-CN"/>
        </w:rPr>
        <w:t>,</w:t>
      </w:r>
      <w:r>
        <w:rPr>
          <w:lang w:eastAsia="zh-CN"/>
        </w:rPr>
        <w:t xml:space="preserve"> AGENT</w:t>
      </w:r>
      <w:r w:rsidR="00F31E73">
        <w:rPr>
          <w:lang w:eastAsia="zh-CN"/>
        </w:rPr>
        <w:t>S</w:t>
      </w:r>
      <w:r>
        <w:rPr>
          <w:lang w:eastAsia="zh-CN"/>
        </w:rPr>
        <w:t>.md</w:t>
      </w:r>
      <w:r w:rsidR="00094986">
        <w:rPr>
          <w:lang w:eastAsia="zh-CN"/>
        </w:rPr>
        <w:t>,</w:t>
      </w:r>
      <w:r>
        <w:rPr>
          <w:lang w:eastAsia="zh-CN"/>
        </w:rPr>
        <w:t xml:space="preserve"> </w:t>
      </w:r>
      <w:r w:rsidR="00094986">
        <w:rPr>
          <w:lang w:eastAsia="zh-CN"/>
        </w:rPr>
        <w:t>wa</w:t>
      </w:r>
      <w:r>
        <w:rPr>
          <w:lang w:eastAsia="zh-CN"/>
        </w:rPr>
        <w:t>s written by me. The analysis and interpretation of this report are my own.</w:t>
      </w:r>
    </w:p>
    <w:p w14:paraId="7A7A9236" w14:textId="77777777" w:rsidR="00094FB7" w:rsidRDefault="00000000">
      <w:r>
        <w:br w:type="page"/>
      </w:r>
    </w:p>
    <w:p w14:paraId="4B480E56" w14:textId="77777777" w:rsidR="00094FB7" w:rsidRDefault="00000000">
      <w:pPr>
        <w:pStyle w:val="Heading1"/>
      </w:pPr>
      <w:r>
        <w:lastRenderedPageBreak/>
        <w:t>Appendix — supporting exhibits</w:t>
      </w:r>
    </w:p>
    <w:p w14:paraId="265AE8AA" w14:textId="77777777" w:rsidR="00094FB7" w:rsidRDefault="00000000">
      <w:pPr>
        <w:jc w:val="center"/>
      </w:pPr>
      <w:r>
        <w:rPr>
          <w:noProof/>
        </w:rPr>
        <w:drawing>
          <wp:inline distT="0" distB="0" distL="0" distR="0" wp14:anchorId="2346F2EF" wp14:editId="73E2739E">
            <wp:extent cx="5486400" cy="2438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down_combined_max_sharpe.png"/>
                    <pic:cNvPicPr/>
                  </pic:nvPicPr>
                  <pic:blipFill>
                    <a:blip r:embed="rId17"/>
                    <a:stretch>
                      <a:fillRect/>
                    </a:stretch>
                  </pic:blipFill>
                  <pic:spPr>
                    <a:xfrm>
                      <a:off x="0" y="0"/>
                      <a:ext cx="5486400" cy="2438400"/>
                    </a:xfrm>
                    <a:prstGeom prst="rect">
                      <a:avLst/>
                    </a:prstGeom>
                  </pic:spPr>
                </pic:pic>
              </a:graphicData>
            </a:graphic>
          </wp:inline>
        </w:drawing>
      </w:r>
    </w:p>
    <w:p w14:paraId="7B4D7F2B" w14:textId="7B8068D1" w:rsidR="007C0030" w:rsidRPr="00F40D67" w:rsidRDefault="00000000" w:rsidP="00F40D67">
      <w:pPr>
        <w:pStyle w:val="Caption"/>
        <w:jc w:val="center"/>
        <w:rPr>
          <w:color w:val="6B625C"/>
          <w:lang w:eastAsia="zh-CN"/>
        </w:rPr>
      </w:pPr>
      <w:bookmarkStart w:id="5" w:name="OLE_LINK5"/>
      <w:r>
        <w:rPr>
          <w:color w:val="990F3D"/>
        </w:rPr>
        <w:t xml:space="preserve">A1 — </w:t>
      </w:r>
      <w:r>
        <w:rPr>
          <w:color w:val="6B625C"/>
        </w:rPr>
        <w:t>Drawdown from peak, Combined Max-Sharpe, out-of-sample period (Feb 2021 – Dec 2023).</w:t>
      </w:r>
      <w:bookmarkEnd w:id="5"/>
    </w:p>
    <w:p w14:paraId="75DCE9DF" w14:textId="77777777" w:rsidR="00094FB7" w:rsidRDefault="00000000">
      <w:pPr>
        <w:jc w:val="center"/>
      </w:pPr>
      <w:r>
        <w:rPr>
          <w:noProof/>
        </w:rPr>
        <w:drawing>
          <wp:inline distT="0" distB="0" distL="0" distR="0" wp14:anchorId="517A6876" wp14:editId="60065EA4">
            <wp:extent cx="5486400" cy="304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ights_combined_max_sharpe.png"/>
                    <pic:cNvPicPr/>
                  </pic:nvPicPr>
                  <pic:blipFill>
                    <a:blip r:embed="rId18"/>
                    <a:stretch>
                      <a:fillRect/>
                    </a:stretch>
                  </pic:blipFill>
                  <pic:spPr>
                    <a:xfrm>
                      <a:off x="0" y="0"/>
                      <a:ext cx="5486400" cy="3048000"/>
                    </a:xfrm>
                    <a:prstGeom prst="rect">
                      <a:avLst/>
                    </a:prstGeom>
                  </pic:spPr>
                </pic:pic>
              </a:graphicData>
            </a:graphic>
          </wp:inline>
        </w:drawing>
      </w:r>
    </w:p>
    <w:p w14:paraId="3704FD68" w14:textId="77777777" w:rsidR="00094FB7" w:rsidRDefault="00000000">
      <w:pPr>
        <w:pStyle w:val="Caption"/>
        <w:jc w:val="center"/>
        <w:rPr>
          <w:color w:val="6B625C"/>
        </w:rPr>
      </w:pPr>
      <w:r>
        <w:rPr>
          <w:color w:val="990F3D"/>
        </w:rPr>
        <w:t xml:space="preserve">A2 — </w:t>
      </w:r>
      <w:r>
        <w:rPr>
          <w:color w:val="6B625C"/>
        </w:rPr>
        <w:t>Target weights per monthly rebalance, Combined Max-Sharpe (top 5 holdings; the remainder is spread across all other assets).</w:t>
      </w:r>
    </w:p>
    <w:p w14:paraId="72BDFDBC" w14:textId="77777777" w:rsidR="00F40D67" w:rsidRDefault="00F40D67" w:rsidP="00F40D67">
      <w:pPr>
        <w:rPr>
          <w:lang w:eastAsia="zh-CN"/>
        </w:rPr>
      </w:pPr>
      <w:r>
        <w:rPr>
          <w:rFonts w:hint="eastAsia"/>
          <w:noProof/>
          <w:lang w:eastAsia="zh-CN"/>
        </w:rPr>
        <w:lastRenderedPageBreak/>
        <w:drawing>
          <wp:inline distT="0" distB="0" distL="0" distR="0" wp14:anchorId="2F05758D" wp14:editId="7F7B68BA">
            <wp:extent cx="5486400" cy="1886585"/>
            <wp:effectExtent l="0" t="0" r="0" b="5715"/>
            <wp:docPr id="16942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2203" name="Picture 169422203"/>
                    <pic:cNvPicPr/>
                  </pic:nvPicPr>
                  <pic:blipFill>
                    <a:blip r:embed="rId19"/>
                    <a:stretch>
                      <a:fillRect/>
                    </a:stretch>
                  </pic:blipFill>
                  <pic:spPr>
                    <a:xfrm>
                      <a:off x="0" y="0"/>
                      <a:ext cx="5486400" cy="1886585"/>
                    </a:xfrm>
                    <a:prstGeom prst="rect">
                      <a:avLst/>
                    </a:prstGeom>
                  </pic:spPr>
                </pic:pic>
              </a:graphicData>
            </a:graphic>
          </wp:inline>
        </w:drawing>
      </w:r>
    </w:p>
    <w:p w14:paraId="7ACA5398" w14:textId="3EF5FA8F" w:rsidR="00F40D67" w:rsidRPr="00F40D67" w:rsidRDefault="00F40D67" w:rsidP="00F40D67">
      <w:pPr>
        <w:pStyle w:val="Caption"/>
        <w:jc w:val="center"/>
        <w:rPr>
          <w:color w:val="6B625C"/>
          <w:lang w:eastAsia="zh-CN"/>
        </w:rPr>
      </w:pPr>
      <w:r>
        <w:rPr>
          <w:color w:val="990F3D"/>
        </w:rPr>
        <w:t>A</w:t>
      </w:r>
      <w:r>
        <w:rPr>
          <w:rFonts w:hint="eastAsia"/>
          <w:color w:val="990F3D"/>
          <w:lang w:eastAsia="zh-CN"/>
        </w:rPr>
        <w:t>2b</w:t>
      </w:r>
      <w:r>
        <w:rPr>
          <w:color w:val="990F3D"/>
        </w:rPr>
        <w:t xml:space="preserve"> — </w:t>
      </w:r>
      <w:r w:rsidRPr="00F40D67">
        <w:rPr>
          <w:color w:val="6B625C"/>
        </w:rPr>
        <w:t>Target weights per monthly rebalance, Crypto Max-Sharpe, out-of-sample period (Oct 2020 – Dec 2023). Top 5 holdings shown.</w:t>
      </w:r>
    </w:p>
    <w:p w14:paraId="557A601D" w14:textId="77777777" w:rsidR="00094FB7" w:rsidRDefault="00000000">
      <w:pPr>
        <w:jc w:val="center"/>
      </w:pPr>
      <w:r>
        <w:rPr>
          <w:noProof/>
        </w:rPr>
        <w:drawing>
          <wp:inline distT="0" distB="0" distL="0" distR="0" wp14:anchorId="6F69A95E" wp14:editId="43937BA7">
            <wp:extent cx="5486400" cy="39901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iment_model_comparison.png"/>
                    <pic:cNvPicPr/>
                  </pic:nvPicPr>
                  <pic:blipFill>
                    <a:blip r:embed="rId20"/>
                    <a:stretch>
                      <a:fillRect/>
                    </a:stretch>
                  </pic:blipFill>
                  <pic:spPr>
                    <a:xfrm>
                      <a:off x="0" y="0"/>
                      <a:ext cx="5486400" cy="3990109"/>
                    </a:xfrm>
                    <a:prstGeom prst="rect">
                      <a:avLst/>
                    </a:prstGeom>
                  </pic:spPr>
                </pic:pic>
              </a:graphicData>
            </a:graphic>
          </wp:inline>
        </w:drawing>
      </w:r>
    </w:p>
    <w:p w14:paraId="52C61080" w14:textId="2CB2582C" w:rsidR="00094FB7" w:rsidRDefault="00000000">
      <w:pPr>
        <w:pStyle w:val="Caption"/>
        <w:jc w:val="center"/>
      </w:pPr>
      <w:r>
        <w:rPr>
          <w:color w:val="990F3D"/>
        </w:rPr>
        <w:t xml:space="preserve">A3 — </w:t>
      </w:r>
      <w:r>
        <w:rPr>
          <w:color w:val="6B625C"/>
        </w:rPr>
        <w:t xml:space="preserve">Custom </w:t>
      </w:r>
      <w:r w:rsidR="00536C5F">
        <w:rPr>
          <w:color w:val="6B625C"/>
          <w:lang w:eastAsia="zh-CN"/>
        </w:rPr>
        <w:t>dictionary</w:t>
      </w:r>
      <w:r>
        <w:rPr>
          <w:color w:val="6B625C"/>
        </w:rPr>
        <w:t xml:space="preserve"> vs </w:t>
      </w:r>
      <w:proofErr w:type="spellStart"/>
      <w:r>
        <w:rPr>
          <w:color w:val="6B625C"/>
        </w:rPr>
        <w:t>finVADER</w:t>
      </w:r>
      <w:proofErr w:type="spellEnd"/>
      <w:r>
        <w:rPr>
          <w:color w:val="6B625C"/>
        </w:rPr>
        <w:t xml:space="preserve"> benchmark: per-sector correlation and representative sectors, 2020–2023.</w:t>
      </w:r>
    </w:p>
    <w:p w14:paraId="22025C3D" w14:textId="5D4D979A" w:rsidR="00666426" w:rsidRDefault="00666426">
      <w:pPr>
        <w:rPr>
          <w:lang w:eastAsia="zh-CN"/>
        </w:rPr>
      </w:pPr>
      <w:r w:rsidRPr="00666426">
        <w:rPr>
          <w:noProof/>
          <w:lang w:eastAsia="zh-CN"/>
        </w:rPr>
        <w:lastRenderedPageBreak/>
        <w:drawing>
          <wp:inline distT="0" distB="0" distL="0" distR="0" wp14:anchorId="04BDDC45" wp14:editId="2D6EDF0F">
            <wp:extent cx="5486400" cy="6737985"/>
            <wp:effectExtent l="0" t="0" r="0" b="5715"/>
            <wp:docPr id="41151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17614" name=""/>
                    <pic:cNvPicPr/>
                  </pic:nvPicPr>
                  <pic:blipFill>
                    <a:blip r:embed="rId21"/>
                    <a:stretch>
                      <a:fillRect/>
                    </a:stretch>
                  </pic:blipFill>
                  <pic:spPr>
                    <a:xfrm>
                      <a:off x="0" y="0"/>
                      <a:ext cx="5486400" cy="6737985"/>
                    </a:xfrm>
                    <a:prstGeom prst="rect">
                      <a:avLst/>
                    </a:prstGeom>
                  </pic:spPr>
                </pic:pic>
              </a:graphicData>
            </a:graphic>
          </wp:inline>
        </w:drawing>
      </w:r>
    </w:p>
    <w:p w14:paraId="146A5B06" w14:textId="3110CC37" w:rsidR="00666426" w:rsidRDefault="00666426" w:rsidP="00666426">
      <w:pPr>
        <w:pStyle w:val="Caption"/>
        <w:jc w:val="center"/>
        <w:rPr>
          <w:rFonts w:ascii="Georgia" w:hAnsi="Georgia"/>
          <w:b w:val="0"/>
          <w:bCs w:val="0"/>
          <w:color w:val="0F766E"/>
          <w:sz w:val="30"/>
          <w:szCs w:val="28"/>
        </w:rPr>
      </w:pPr>
      <w:r w:rsidRPr="00666426">
        <w:rPr>
          <w:color w:val="990F3D"/>
        </w:rPr>
        <w:t xml:space="preserve">A4 — </w:t>
      </w:r>
      <w:r w:rsidRPr="00666426">
        <w:rPr>
          <w:color w:val="6B625C"/>
        </w:rPr>
        <w:t>Learning cards in the practice area: a Replay run started 1 February 2021 with $1,000 in Crypto Max-Sharpe, shown on 13 June 2021 after traveling through the May 2021 crypto sell-off. Three cards have fired, each driven by the user's own numbers</w:t>
      </w:r>
      <w:r>
        <w:br w:type="page"/>
      </w:r>
    </w:p>
    <w:p w14:paraId="5FA982FB" w14:textId="1170188C" w:rsidR="00094FB7" w:rsidRDefault="00000000">
      <w:pPr>
        <w:pStyle w:val="Heading1"/>
      </w:pPr>
      <w:r>
        <w:lastRenderedPageBreak/>
        <w:t>References</w:t>
      </w:r>
    </w:p>
    <w:p w14:paraId="2B26BAA6" w14:textId="77777777" w:rsidR="007D776B" w:rsidRDefault="007D776B"/>
    <w:p w14:paraId="2138F174" w14:textId="57214EED" w:rsidR="007D776B" w:rsidRPr="007D776B" w:rsidRDefault="00D85B92" w:rsidP="007D776B">
      <w:pPr>
        <w:rPr>
          <w:lang w:val="en-CN"/>
        </w:rPr>
      </w:pPr>
      <w:r w:rsidRPr="00D85B92">
        <w:rPr>
          <w:lang w:val="en-CN"/>
        </w:rPr>
        <w:t xml:space="preserve">Massachusetts Securities Division (2020) In the Matter of Robinhood Financial, LLC (Administrative Complaint, Docket No. E-2020-0047), Commonwealth of Massachusetts, 16 December. Available at: </w:t>
      </w:r>
      <w:hyperlink r:id="rId22" w:history="1">
        <w:r w:rsidRPr="00D85B92">
          <w:rPr>
            <w:rStyle w:val="Hyperlink"/>
            <w:lang w:val="en-CN"/>
          </w:rPr>
          <w:t>https://business.cch.com/srd/MSD-Robinhood-Financial-LLC-Complaint-E-2020-0047.pdf</w:t>
        </w:r>
      </w:hyperlink>
      <w:r w:rsidRPr="00D85B92">
        <w:rPr>
          <w:lang w:val="en-CN"/>
        </w:rPr>
        <w:t xml:space="preserve"> </w:t>
      </w:r>
      <w:r w:rsidRPr="00D85B92">
        <w:rPr>
          <w:lang w:val="en-CN"/>
        </w:rPr>
        <w:t xml:space="preserve">(Accessed: </w:t>
      </w:r>
      <w:r w:rsidR="00117EE5">
        <w:rPr>
          <w:rFonts w:hint="eastAsia"/>
          <w:lang w:val="en-CN" w:eastAsia="zh-CN"/>
        </w:rPr>
        <w:t>13 August</w:t>
      </w:r>
      <w:r w:rsidR="00117EE5">
        <w:rPr>
          <w:lang w:eastAsia="zh-CN"/>
        </w:rPr>
        <w:t>, 2026</w:t>
      </w:r>
      <w:r w:rsidRPr="00D85B92">
        <w:rPr>
          <w:lang w:val="en-CN"/>
        </w:rPr>
        <w:t>)</w:t>
      </w:r>
      <w:r w:rsidR="00117EE5">
        <w:rPr>
          <w:lang w:val="en-CN"/>
        </w:rPr>
        <w:t>.</w:t>
      </w:r>
    </w:p>
    <w:p w14:paraId="2093A7DD" w14:textId="77777777" w:rsidR="007D776B" w:rsidRPr="007D776B" w:rsidRDefault="007D776B" w:rsidP="007D776B">
      <w:pPr>
        <w:rPr>
          <w:lang w:val="en-CN"/>
        </w:rPr>
      </w:pPr>
      <w:r w:rsidRPr="007D776B">
        <w:rPr>
          <w:lang w:val="en-CN"/>
        </w:rPr>
        <w:t>Consoli, S., Barbaglia, L. and Manzan, S. (2021) 'Explaining sentiment from Lexicon', CEUR Workshop Proceedings, vol. 2918, pp. 87–95.</w:t>
      </w:r>
    </w:p>
    <w:p w14:paraId="79F0D546" w14:textId="77777777" w:rsidR="007D776B" w:rsidRPr="007D776B" w:rsidRDefault="007D776B" w:rsidP="007D776B">
      <w:pPr>
        <w:rPr>
          <w:lang w:val="en-CN"/>
        </w:rPr>
      </w:pPr>
      <w:r w:rsidRPr="007D776B">
        <w:rPr>
          <w:lang w:val="en-CN"/>
        </w:rPr>
        <w:t>Henry, E. (2008) 'Are Investors Influenced by How Earnings Press Releases Are Written?', Journal of Business Communication, 45(4), pp. 363–407.</w:t>
      </w:r>
    </w:p>
    <w:p w14:paraId="62048785" w14:textId="77777777" w:rsidR="007D776B" w:rsidRPr="007D776B" w:rsidRDefault="007D776B" w:rsidP="007D776B">
      <w:pPr>
        <w:rPr>
          <w:lang w:val="en-CN"/>
        </w:rPr>
      </w:pPr>
      <w:r w:rsidRPr="007D776B">
        <w:rPr>
          <w:lang w:val="en-CN"/>
        </w:rPr>
        <w:t>Hutto, C.J. and Gilbert, E. (2014) 'VADER: A Parsimonious Rule-based Model for Sentiment Analysis of Social Media Text', Proceedings of the Eighth International AAAI Conference on Weblogs and Social Media (ICWSM), pp. 216–225.</w:t>
      </w:r>
    </w:p>
    <w:p w14:paraId="4C4E84F4" w14:textId="4B76CC5C" w:rsidR="007D776B" w:rsidRPr="007D776B" w:rsidRDefault="007D776B" w:rsidP="007D776B">
      <w:pPr>
        <w:rPr>
          <w:lang w:val="en-CN"/>
        </w:rPr>
      </w:pPr>
      <w:r w:rsidRPr="007D776B">
        <w:rPr>
          <w:rFonts w:hint="eastAsia"/>
          <w:lang w:val="en-CN"/>
        </w:rPr>
        <w:t>Koráb, P. (2023) FinVADER: VADER sentiment classifier updated with financial lexicons [computer software]. Available at:</w:t>
      </w:r>
      <w:r w:rsidR="00117EE5">
        <w:rPr>
          <w:rFonts w:hint="eastAsia"/>
          <w:lang w:val="en-CN" w:eastAsia="zh-CN"/>
        </w:rPr>
        <w:t xml:space="preserve"> </w:t>
      </w:r>
      <w:r w:rsidR="00117EE5" w:rsidRPr="00117EE5">
        <w:rPr>
          <w:lang w:val="en-CN" w:eastAsia="zh-CN"/>
        </w:rPr>
        <w:t>https://github.com/PetrKorab/FinVADER</w:t>
      </w:r>
      <w:r w:rsidRPr="007D776B">
        <w:rPr>
          <w:rFonts w:hint="eastAsia"/>
          <w:lang w:val="en-CN"/>
        </w:rPr>
        <w:t xml:space="preserve"> (Accessed: </w:t>
      </w:r>
      <w:r w:rsidR="00117EE5">
        <w:rPr>
          <w:lang w:val="en-CN"/>
        </w:rPr>
        <w:t>13 August 13, 2026</w:t>
      </w:r>
      <w:r w:rsidRPr="007D776B">
        <w:rPr>
          <w:rFonts w:hint="eastAsia"/>
          <w:lang w:val="en-CN"/>
        </w:rPr>
        <w:t>).</w:t>
      </w:r>
    </w:p>
    <w:sectPr w:rsidR="007D776B" w:rsidRPr="007D776B" w:rsidSect="00034616">
      <w:headerReference w:type="default" r:id="rId23"/>
      <w:footerReference w:type="default" r:id="rId24"/>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ACD6DE" w14:textId="77777777" w:rsidR="00EE49D8" w:rsidRDefault="00EE49D8">
      <w:pPr>
        <w:spacing w:after="0" w:line="240" w:lineRule="auto"/>
      </w:pPr>
      <w:r>
        <w:separator/>
      </w:r>
    </w:p>
  </w:endnote>
  <w:endnote w:type="continuationSeparator" w:id="0">
    <w:p w14:paraId="6101105C" w14:textId="77777777" w:rsidR="00EE49D8" w:rsidRDefault="00EE49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445075" w14:textId="77777777" w:rsidR="00094FB7" w:rsidRDefault="00000000">
    <w:pPr>
      <w:pStyle w:val="Footer"/>
      <w:jc w:val="center"/>
    </w:pPr>
    <w:r>
      <w:fldChar w:fldCharType="begin"/>
    </w:r>
    <w:r>
      <w:instrText>PAGE \* MERGEFORMAT</w:instrText>
    </w:r>
    <w:r>
      <w:fldChar w:fldCharType="separate"/>
    </w:r>
    <w:r>
      <w:rPr>
        <w:color w:val="6B625C"/>
        <w:sz w:val="17"/>
      </w:rPr>
      <w:t>1</w:t>
    </w:r>
    <w:r>
      <w:rPr>
        <w:color w:val="6B625C"/>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0B3386" w14:textId="77777777" w:rsidR="00EE49D8" w:rsidRDefault="00EE49D8">
      <w:pPr>
        <w:spacing w:after="0" w:line="240" w:lineRule="auto"/>
      </w:pPr>
      <w:r>
        <w:separator/>
      </w:r>
    </w:p>
  </w:footnote>
  <w:footnote w:type="continuationSeparator" w:id="0">
    <w:p w14:paraId="3C845082" w14:textId="77777777" w:rsidR="00EE49D8" w:rsidRDefault="00EE49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508140" w14:textId="77777777" w:rsidR="00094FB7" w:rsidRDefault="00000000">
    <w:pPr>
      <w:pStyle w:val="Header"/>
      <w:jc w:val="right"/>
    </w:pPr>
    <w:proofErr w:type="spellStart"/>
    <w:r>
      <w:rPr>
        <w:color w:val="6B625C"/>
        <w:sz w:val="17"/>
      </w:rPr>
      <w:t>HyperInvest</w:t>
    </w:r>
    <w:proofErr w:type="spellEnd"/>
    <w:r>
      <w:rPr>
        <w:color w:val="6B625C"/>
        <w:sz w:val="17"/>
      </w:rPr>
      <w:t xml:space="preserve"> · Project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EE7B79"/>
    <w:multiLevelType w:val="hybridMultilevel"/>
    <w:tmpl w:val="43CC4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460D09"/>
    <w:multiLevelType w:val="hybridMultilevel"/>
    <w:tmpl w:val="6A9C69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4677C2"/>
    <w:multiLevelType w:val="hybridMultilevel"/>
    <w:tmpl w:val="61B01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09410C"/>
    <w:multiLevelType w:val="hybridMultilevel"/>
    <w:tmpl w:val="7AFA6E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F87D53"/>
    <w:multiLevelType w:val="hybridMultilevel"/>
    <w:tmpl w:val="673E3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3009431">
    <w:abstractNumId w:val="8"/>
  </w:num>
  <w:num w:numId="2" w16cid:durableId="1200388722">
    <w:abstractNumId w:val="6"/>
  </w:num>
  <w:num w:numId="3" w16cid:durableId="1409502844">
    <w:abstractNumId w:val="5"/>
  </w:num>
  <w:num w:numId="4" w16cid:durableId="1271428367">
    <w:abstractNumId w:val="4"/>
  </w:num>
  <w:num w:numId="5" w16cid:durableId="667362895">
    <w:abstractNumId w:val="7"/>
  </w:num>
  <w:num w:numId="6" w16cid:durableId="107700676">
    <w:abstractNumId w:val="3"/>
  </w:num>
  <w:num w:numId="7" w16cid:durableId="812521336">
    <w:abstractNumId w:val="2"/>
  </w:num>
  <w:num w:numId="8" w16cid:durableId="422729538">
    <w:abstractNumId w:val="1"/>
  </w:num>
  <w:num w:numId="9" w16cid:durableId="535586743">
    <w:abstractNumId w:val="0"/>
  </w:num>
  <w:num w:numId="10" w16cid:durableId="284850451">
    <w:abstractNumId w:val="12"/>
  </w:num>
  <w:num w:numId="11" w16cid:durableId="791560715">
    <w:abstractNumId w:val="13"/>
  </w:num>
  <w:num w:numId="12" w16cid:durableId="1299610435">
    <w:abstractNumId w:val="11"/>
  </w:num>
  <w:num w:numId="13" w16cid:durableId="1952855533">
    <w:abstractNumId w:val="9"/>
  </w:num>
  <w:num w:numId="14" w16cid:durableId="1473405151">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432"/>
    <w:rsid w:val="00010139"/>
    <w:rsid w:val="000105BD"/>
    <w:rsid w:val="000126AD"/>
    <w:rsid w:val="00034616"/>
    <w:rsid w:val="000526C1"/>
    <w:rsid w:val="00057B0E"/>
    <w:rsid w:val="0006063C"/>
    <w:rsid w:val="000836B1"/>
    <w:rsid w:val="00094986"/>
    <w:rsid w:val="00094FB7"/>
    <w:rsid w:val="000A359B"/>
    <w:rsid w:val="000B7131"/>
    <w:rsid w:val="001025BB"/>
    <w:rsid w:val="00112CBC"/>
    <w:rsid w:val="00117EE5"/>
    <w:rsid w:val="001425F9"/>
    <w:rsid w:val="0015074B"/>
    <w:rsid w:val="001B4CA5"/>
    <w:rsid w:val="001F26F5"/>
    <w:rsid w:val="001F54B5"/>
    <w:rsid w:val="00216FD7"/>
    <w:rsid w:val="002627B6"/>
    <w:rsid w:val="00275812"/>
    <w:rsid w:val="0029639D"/>
    <w:rsid w:val="002E3040"/>
    <w:rsid w:val="002E363F"/>
    <w:rsid w:val="002F7CD2"/>
    <w:rsid w:val="00304827"/>
    <w:rsid w:val="0031473D"/>
    <w:rsid w:val="00326F90"/>
    <w:rsid w:val="00333D80"/>
    <w:rsid w:val="00393A10"/>
    <w:rsid w:val="003F5411"/>
    <w:rsid w:val="004664B3"/>
    <w:rsid w:val="00485FAC"/>
    <w:rsid w:val="004A3995"/>
    <w:rsid w:val="004C455B"/>
    <w:rsid w:val="004E768B"/>
    <w:rsid w:val="004F4FD0"/>
    <w:rsid w:val="005052AE"/>
    <w:rsid w:val="00507E9A"/>
    <w:rsid w:val="00536C5F"/>
    <w:rsid w:val="005644EA"/>
    <w:rsid w:val="005812E3"/>
    <w:rsid w:val="005E1C6B"/>
    <w:rsid w:val="00621CD0"/>
    <w:rsid w:val="00645BCE"/>
    <w:rsid w:val="0065447F"/>
    <w:rsid w:val="00666426"/>
    <w:rsid w:val="006856E4"/>
    <w:rsid w:val="0069157B"/>
    <w:rsid w:val="006C020F"/>
    <w:rsid w:val="00700126"/>
    <w:rsid w:val="00701AB9"/>
    <w:rsid w:val="007470FB"/>
    <w:rsid w:val="0077088C"/>
    <w:rsid w:val="007A15EB"/>
    <w:rsid w:val="007B2F6C"/>
    <w:rsid w:val="007C0030"/>
    <w:rsid w:val="007C230C"/>
    <w:rsid w:val="007C52C1"/>
    <w:rsid w:val="007D418B"/>
    <w:rsid w:val="007D776B"/>
    <w:rsid w:val="0081591F"/>
    <w:rsid w:val="00840B21"/>
    <w:rsid w:val="008616B6"/>
    <w:rsid w:val="0086557F"/>
    <w:rsid w:val="00885B93"/>
    <w:rsid w:val="00901AA3"/>
    <w:rsid w:val="0097700B"/>
    <w:rsid w:val="009924EA"/>
    <w:rsid w:val="009A0820"/>
    <w:rsid w:val="009E6C31"/>
    <w:rsid w:val="009F0BD4"/>
    <w:rsid w:val="009F3A01"/>
    <w:rsid w:val="00A5034D"/>
    <w:rsid w:val="00AA1D8D"/>
    <w:rsid w:val="00B36729"/>
    <w:rsid w:val="00B47730"/>
    <w:rsid w:val="00B5458D"/>
    <w:rsid w:val="00B74F02"/>
    <w:rsid w:val="00B87C6F"/>
    <w:rsid w:val="00BA2CC6"/>
    <w:rsid w:val="00C16931"/>
    <w:rsid w:val="00C72875"/>
    <w:rsid w:val="00CA619F"/>
    <w:rsid w:val="00CB0664"/>
    <w:rsid w:val="00D113DB"/>
    <w:rsid w:val="00D2375A"/>
    <w:rsid w:val="00D536B3"/>
    <w:rsid w:val="00D56CB1"/>
    <w:rsid w:val="00D85B92"/>
    <w:rsid w:val="00DB5257"/>
    <w:rsid w:val="00DB6B36"/>
    <w:rsid w:val="00E21337"/>
    <w:rsid w:val="00E46C98"/>
    <w:rsid w:val="00E47B4C"/>
    <w:rsid w:val="00E5692B"/>
    <w:rsid w:val="00E62F9C"/>
    <w:rsid w:val="00E9357F"/>
    <w:rsid w:val="00ED51AC"/>
    <w:rsid w:val="00EE23A5"/>
    <w:rsid w:val="00EE49D8"/>
    <w:rsid w:val="00EF4014"/>
    <w:rsid w:val="00F06D2C"/>
    <w:rsid w:val="00F273DB"/>
    <w:rsid w:val="00F31E73"/>
    <w:rsid w:val="00F40D67"/>
    <w:rsid w:val="00F463CD"/>
    <w:rsid w:val="00F60069"/>
    <w:rsid w:val="00F653C3"/>
    <w:rsid w:val="00F65CBA"/>
    <w:rsid w:val="00F73DA3"/>
    <w:rsid w:val="00FB3AF7"/>
    <w:rsid w:val="00FC1FCB"/>
    <w:rsid w:val="00FC5620"/>
    <w:rsid w:val="00FC693F"/>
    <w:rsid w:val="00FD55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EAAAE"/>
  <w14:defaultImageDpi w14:val="300"/>
  <w15:docId w15:val="{9CA1CBAA-962A-5241-B2D6-C152BACC5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62A33"/>
    </w:rPr>
  </w:style>
  <w:style w:type="paragraph" w:styleId="Heading1">
    <w:name w:val="heading 1"/>
    <w:basedOn w:val="Normal"/>
    <w:next w:val="Normal"/>
    <w:link w:val="Heading1Char"/>
    <w:uiPriority w:val="9"/>
    <w:qFormat/>
    <w:rsid w:val="00FC693F"/>
    <w:pPr>
      <w:keepNext/>
      <w:keepLines/>
      <w:pBdr>
        <w:bottom w:val="single" w:sz="8" w:space="2" w:color="0F766E"/>
      </w:pBdr>
      <w:spacing w:before="480" w:after="0"/>
      <w:outlineLvl w:val="0"/>
    </w:pPr>
    <w:rPr>
      <w:rFonts w:ascii="Georgia" w:hAnsi="Georgia"/>
      <w:b/>
      <w:bCs/>
      <w:color w:val="0F766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Georgia" w:hAnsi="Georgi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85B92"/>
    <w:rPr>
      <w:color w:val="0000FF" w:themeColor="hyperlink"/>
      <w:u w:val="single"/>
    </w:rPr>
  </w:style>
  <w:style w:type="character" w:styleId="UnresolvedMention">
    <w:name w:val="Unresolved Mention"/>
    <w:basedOn w:val="DefaultParagraphFont"/>
    <w:uiPriority w:val="99"/>
    <w:semiHidden/>
    <w:unhideWhenUsed/>
    <w:rsid w:val="00D85B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business.cch.com/srd/MSD-Robinhood-Financial-LLC-Complaint-E-2020-004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832</TotalTime>
  <Pages>21</Pages>
  <Words>5370</Words>
  <Characters>28837</Characters>
  <Application>Microsoft Office Word</Application>
  <DocSecurity>0</DocSecurity>
  <Lines>497</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Zeyi Gao</cp:lastModifiedBy>
  <cp:revision>34</cp:revision>
  <dcterms:created xsi:type="dcterms:W3CDTF">2013-12-23T23:15:00Z</dcterms:created>
  <dcterms:modified xsi:type="dcterms:W3CDTF">2026-08-13T17:30:00Z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c86a8d3a10c06b34e140c028e56525abb604283a71e93a08bf5e053793b439b6</vt:lpwstr>
  </property>
</Properties>
</file>