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91B7E" w14:textId="77777777" w:rsidR="002C2948" w:rsidRDefault="00000000">
      <w:pPr>
        <w:spacing w:before="2000" w:after="600"/>
        <w:jc w:val="center"/>
      </w:pPr>
      <w:r>
        <w:rPr>
          <w:b/>
          <w:bCs/>
          <w:sz w:val="32"/>
          <w:szCs w:val="32"/>
        </w:rPr>
        <w:t>Statik Karşılaştırmalı Bir Yaklaşımla Gömülü Sistem Firmware Bütünlük İhlali Tespiti</w:t>
      </w:r>
    </w:p>
    <w:p w14:paraId="0B707377" w14:textId="77777777" w:rsidR="002C2948" w:rsidRDefault="00000000">
      <w:pPr>
        <w:spacing w:before="800" w:after="100"/>
        <w:jc w:val="center"/>
      </w:pPr>
      <w:r>
        <w:rPr>
          <w:sz w:val="26"/>
          <w:szCs w:val="26"/>
        </w:rPr>
        <w:t>Zeynep Kaçar</w:t>
      </w:r>
    </w:p>
    <w:p w14:paraId="740A42AA" w14:textId="77777777" w:rsidR="002C2948" w:rsidRDefault="00000000">
      <w:pPr>
        <w:spacing w:after="100"/>
        <w:jc w:val="center"/>
      </w:pPr>
      <w:r>
        <w:rPr>
          <w:i/>
          <w:iCs/>
          <w:sz w:val="24"/>
          <w:szCs w:val="24"/>
        </w:rPr>
        <w:t>Fırat Üniversitesi, Adli Bilişim Mühendisliği</w:t>
      </w:r>
    </w:p>
    <w:p w14:paraId="48AC7AEE" w14:textId="77777777" w:rsidR="002C2948" w:rsidRDefault="00000000">
      <w:r>
        <w:br w:type="page"/>
      </w:r>
    </w:p>
    <w:p w14:paraId="1BF4CA04" w14:textId="77777777" w:rsidR="002C2948" w:rsidRPr="004B23B8" w:rsidRDefault="00000000">
      <w:pPr>
        <w:pStyle w:val="Balk1"/>
        <w:spacing w:before="400" w:after="200"/>
        <w:rPr>
          <w:color w:val="0D0D0D" w:themeColor="text1" w:themeTint="F2"/>
        </w:rPr>
      </w:pPr>
      <w:r w:rsidRPr="004B23B8">
        <w:rPr>
          <w:b/>
          <w:bCs/>
          <w:color w:val="0D0D0D" w:themeColor="text1" w:themeTint="F2"/>
        </w:rPr>
        <w:lastRenderedPageBreak/>
        <w:t>Öz</w:t>
      </w:r>
    </w:p>
    <w:p w14:paraId="18F6AEDB" w14:textId="77777777" w:rsidR="002C2948" w:rsidRDefault="00000000">
      <w:pPr>
        <w:spacing w:after="200" w:line="360" w:lineRule="auto"/>
      </w:pPr>
      <w:r>
        <w:rPr>
          <w:i/>
          <w:iCs/>
          <w:color w:val="808080"/>
          <w:sz w:val="22"/>
          <w:szCs w:val="22"/>
        </w:rPr>
        <w:t>[TBD — bildiri tamamlandıktan sonra en son yazılacak, 150-250 kelime]</w:t>
      </w:r>
    </w:p>
    <w:p w14:paraId="4A9ED243" w14:textId="77777777" w:rsidR="002C2948" w:rsidRPr="004B23B8" w:rsidRDefault="00000000">
      <w:pPr>
        <w:pStyle w:val="Balk1"/>
        <w:spacing w:before="400" w:after="200"/>
        <w:rPr>
          <w:color w:val="0D0D0D" w:themeColor="text1" w:themeTint="F2"/>
        </w:rPr>
      </w:pPr>
      <w:r w:rsidRPr="004B23B8">
        <w:rPr>
          <w:b/>
          <w:bCs/>
          <w:color w:val="0D0D0D" w:themeColor="text1" w:themeTint="F2"/>
        </w:rPr>
        <w:t>1. Giriş</w:t>
      </w:r>
    </w:p>
    <w:p w14:paraId="49F531DA" w14:textId="77777777" w:rsidR="002C2948" w:rsidRDefault="00000000">
      <w:pPr>
        <w:spacing w:after="200" w:line="360" w:lineRule="auto"/>
        <w:jc w:val="both"/>
      </w:pPr>
      <w:r>
        <w:rPr>
          <w:sz w:val="24"/>
          <w:szCs w:val="24"/>
        </w:rPr>
        <w:t>Gömülü sistemler — endüstriyel kontrolörlerden ev tipi ağ cihazlarına, IoT sensörlerinden tıbbi ekipmanlara kadar geniş bir yelpazede — günümüzde kritik altyapının ayrılmaz bir parçasıdır. Bu cihazların davranışını belirleyen firmware, geleneksel yazılımlara kıyasla çok daha az denetlenen, çoğu zaman kapalı kaynaklı ve güncelleme sonrası nadiren yeniden doğrulanan bir bileşendir. Bir firmware imajının yetkisiz şekilde değiştirilmesi — kötü amaçlı kod eklenmesi, güvenlik kontrollerinin devre dışı bırakılması veya arka kapı yerleştirilmesi — saldırganlara kalıcı ve tespiti güç bir erişim noktası sağlar. Bu tehdide karşı, bir firmware imajının bilinen/güvenilir bir referansa göre değiştirilip değiştirilmediğini adli bilişim titizliğiyle ortaya koyabilecek araçlara ihtiyaç vardır.</w:t>
      </w:r>
    </w:p>
    <w:p w14:paraId="5E86460B" w14:textId="77777777" w:rsidR="002C2948" w:rsidRDefault="00000000">
      <w:pPr>
        <w:spacing w:after="200" w:line="360" w:lineRule="auto"/>
        <w:jc w:val="both"/>
      </w:pPr>
      <w:r>
        <w:rPr>
          <w:sz w:val="24"/>
          <w:szCs w:val="24"/>
        </w:rPr>
        <w:t xml:space="preserve">Bu çalışma, gömülü sistem firmware'lerinde bütünlük ihlali tespiti yapan ve bulgularını delil zinciri (chain of custody) ilkeleriyle raporlayan çok katmanlı bir dijital adli bilişim analiz sistemi sunmaktadır. Sistem; statik bütünlük karşılaştırması (SHA-256 tabanlı), entropi analizi (paketleme/şifreleme göstergesi olarak), YARA kural tabanlı imza/pattern taraması, dosya izin/yetki (SUID/SGID) analizi, bulguların ağırlıklandırılıp tek bir şüphe skoruna dönüştürüldüğü skorlama ve zaman çizelgesi </w:t>
      </w:r>
      <w:proofErr w:type="gramStart"/>
      <w:r>
        <w:rPr>
          <w:sz w:val="24"/>
          <w:szCs w:val="24"/>
        </w:rPr>
        <w:t>katmanı,</w:t>
      </w:r>
      <w:proofErr w:type="gramEnd"/>
      <w:r>
        <w:rPr>
          <w:sz w:val="24"/>
          <w:szCs w:val="24"/>
        </w:rPr>
        <w:t xml:space="preserve"> ve yöntemin bilinen gerçek CVE örnekleriyle sınandığı değerlendirme katmanı olmak üzere altı analiz katmanından oluşmaktadır. Çıktı, Streamlit tabanlı etkileşimli bir arayüzde hem de indirilebilir HTML rapor formatında, delil zinciri bilgisiyle birlikte sunulmaktadır.</w:t>
      </w:r>
    </w:p>
    <w:p w14:paraId="603A09A2" w14:textId="77777777" w:rsidR="002C2948" w:rsidRDefault="00000000">
      <w:pPr>
        <w:spacing w:after="200" w:line="360" w:lineRule="auto"/>
        <w:jc w:val="both"/>
      </w:pPr>
      <w:r>
        <w:rPr>
          <w:sz w:val="24"/>
          <w:szCs w:val="24"/>
        </w:rPr>
        <w:t>Bu bildiride, önce ilgili literatürü sistematik olarak inceleyip önerilen yaklaşımı mevcut çalışmalar arasında konumlandırıyoruz (Bölüm 2); ardından aracın mimarisini ve metodolojisini açıklıyoruz (Bölüm 3); on adet ilgili çalışmanın kod düzeyinde tekrarlanabilirliğini (reproduction) değerlendirdiğimiz deneysel süreci ve bulgularını sunuyoruz (Bölüm 4); son olarak sonuçları tartışıp gelecek çalışma yönlerini öneriyoruz (Bölüm 5-6).</w:t>
      </w:r>
    </w:p>
    <w:p w14:paraId="2D906C70" w14:textId="77777777" w:rsidR="002C2948" w:rsidRDefault="00000000">
      <w:pPr>
        <w:spacing w:after="200" w:line="360" w:lineRule="auto"/>
        <w:jc w:val="both"/>
      </w:pPr>
      <w:r>
        <w:rPr>
          <w:sz w:val="24"/>
          <w:szCs w:val="24"/>
        </w:rPr>
        <w:t>Katkılarımız şu şekilde özetlenebilir:</w:t>
      </w:r>
    </w:p>
    <w:p w14:paraId="189CBD56" w14:textId="77777777" w:rsidR="002C2948" w:rsidRDefault="00000000">
      <w:pPr>
        <w:spacing w:after="200" w:line="360" w:lineRule="auto"/>
      </w:pPr>
      <w:r>
        <w:rPr>
          <w:i/>
          <w:iCs/>
          <w:color w:val="808080"/>
          <w:sz w:val="22"/>
          <w:szCs w:val="22"/>
        </w:rPr>
        <w:t>[TBD — madde madde, örn. "Post-hoc, karşılaştırmalı bir firmware bütünlük tespiti yaklaşımı", "delil zinciri korumalı raporlama", vb.]</w:t>
      </w:r>
    </w:p>
    <w:p w14:paraId="50184C01" w14:textId="77777777" w:rsidR="002C2948" w:rsidRDefault="00000000">
      <w:pPr>
        <w:spacing w:after="200" w:line="360" w:lineRule="auto"/>
        <w:jc w:val="both"/>
      </w:pPr>
      <w:r>
        <w:rPr>
          <w:sz w:val="24"/>
          <w:szCs w:val="24"/>
        </w:rPr>
        <w:lastRenderedPageBreak/>
        <w:t>Literatürdeki 10 ilgili çalışmanın kod düzeyinde reproduction'ı ve önerilen yaklaşımla sistematik karşılaştırması.</w:t>
      </w:r>
    </w:p>
    <w:p w14:paraId="4F28B24E" w14:textId="77777777" w:rsidR="002C2948" w:rsidRDefault="00000000">
      <w:pPr>
        <w:spacing w:after="200" w:line="360" w:lineRule="auto"/>
      </w:pPr>
      <w:r>
        <w:rPr>
          <w:i/>
          <w:iCs/>
          <w:color w:val="808080"/>
          <w:sz w:val="22"/>
          <w:szCs w:val="22"/>
        </w:rPr>
        <w:t>[TBD]</w:t>
      </w:r>
    </w:p>
    <w:p w14:paraId="674D4269" w14:textId="77777777" w:rsidR="002C2948" w:rsidRPr="004B23B8" w:rsidRDefault="00000000">
      <w:pPr>
        <w:pStyle w:val="Balk1"/>
        <w:spacing w:before="400" w:after="200"/>
        <w:rPr>
          <w:color w:val="0D0D0D" w:themeColor="text1" w:themeTint="F2"/>
        </w:rPr>
      </w:pPr>
      <w:r w:rsidRPr="004B23B8">
        <w:rPr>
          <w:b/>
          <w:bCs/>
          <w:color w:val="0D0D0D" w:themeColor="text1" w:themeTint="F2"/>
        </w:rPr>
        <w:t>2. İlgili Çalışmalar</w:t>
      </w:r>
    </w:p>
    <w:p w14:paraId="19F99B73" w14:textId="77777777" w:rsidR="002C2948" w:rsidRDefault="00000000">
      <w:pPr>
        <w:spacing w:after="200" w:line="360" w:lineRule="auto"/>
        <w:jc w:val="both"/>
      </w:pPr>
      <w:r>
        <w:rPr>
          <w:sz w:val="24"/>
          <w:szCs w:val="24"/>
        </w:rPr>
        <w:t xml:space="preserve">Firmware güvenliği literatürü, çalışmanın odaklandığı aşamaya göre kabaca dört gruba ayrılabilir: firmware iç yapısını/davranışını haritalayan analiz ve keşif araçları; firmware bütünlüğü/güvenliğine doğrudan yönelen ama farklı bir aşamada (tasarım-zamanı ya da davranışsal) çalışan araçlar; adli bilişim odaklı </w:t>
      </w:r>
      <w:proofErr w:type="gramStart"/>
      <w:r>
        <w:rPr>
          <w:sz w:val="24"/>
          <w:szCs w:val="24"/>
        </w:rPr>
        <w:t>çalışmalar;</w:t>
      </w:r>
      <w:proofErr w:type="gramEnd"/>
      <w:r>
        <w:rPr>
          <w:sz w:val="24"/>
          <w:szCs w:val="24"/>
        </w:rPr>
        <w:t xml:space="preserve"> ve önerilen yaklaşımı genişletebilecek tamamlayıcı araçlar.</w:t>
      </w:r>
    </w:p>
    <w:p w14:paraId="17CD546F" w14:textId="77777777" w:rsidR="002C2948" w:rsidRPr="004B23B8" w:rsidRDefault="00000000">
      <w:pPr>
        <w:pStyle w:val="Balk2"/>
        <w:spacing w:before="300" w:after="150"/>
        <w:rPr>
          <w:color w:val="0D0D0D" w:themeColor="text1" w:themeTint="F2"/>
        </w:rPr>
      </w:pPr>
      <w:r w:rsidRPr="004B23B8">
        <w:rPr>
          <w:b/>
          <w:bCs/>
          <w:color w:val="0D0D0D" w:themeColor="text1" w:themeTint="F2"/>
          <w:sz w:val="28"/>
          <w:szCs w:val="28"/>
        </w:rPr>
        <w:t>2.1 Analiz ve Keşif Araçları</w:t>
      </w:r>
    </w:p>
    <w:p w14:paraId="3B2CEF01" w14:textId="77777777" w:rsidR="002C2948" w:rsidRDefault="00000000">
      <w:pPr>
        <w:spacing w:after="200" w:line="360" w:lineRule="auto"/>
        <w:jc w:val="both"/>
      </w:pPr>
      <w:r>
        <w:rPr>
          <w:sz w:val="24"/>
          <w:szCs w:val="24"/>
        </w:rPr>
        <w:t>FFXE, Cortex-M tabanlı gömülü firmware ikililerinden dinamik zorlamalı yürütme (forced execution) ile kontrol akış grafiği (CFG) çıkarmaktadır; özellikle asenkron kayıtlı kesme işleyicilerine dolaylı çağrıların çözümlenmesinde başarılıdır. Reproduction çalışmamızda FFXE, 9 gerçek dünya firmware örneğinin tamamında (ChargeHR, Flex, Switchmate cihazları) hatasız çalışmış ve makalenin iddia ettiği CFG çıkarım kabiliyetini doğrulamıştır. Benzer şekilde PEMU, rehosting platformlarına (SEmu, Fuzzware, Hoedur) eklenti olarak protokol-farkındalıklı paket üretimiyle gömülü ağ yığınlarını fuzzlamaktadır; çekirdek paket üretim motoru izole test edilerek doğrulanmıştır. Her iki araç da firmware'in iç yapısını veya çalışma zamanı davranışını haritalamaya odaklanmakta, doğrudan bir bütünlük/tahrifat tespiti sunmamaktadır.</w:t>
      </w:r>
    </w:p>
    <w:p w14:paraId="45D9DA8C" w14:textId="77777777" w:rsidR="002C2948" w:rsidRPr="004B23B8" w:rsidRDefault="00000000">
      <w:pPr>
        <w:pStyle w:val="Balk2"/>
        <w:spacing w:before="300" w:after="150"/>
        <w:rPr>
          <w:color w:val="0D0D0D" w:themeColor="text1" w:themeTint="F2"/>
        </w:rPr>
      </w:pPr>
      <w:r w:rsidRPr="004B23B8">
        <w:rPr>
          <w:b/>
          <w:bCs/>
          <w:color w:val="0D0D0D" w:themeColor="text1" w:themeTint="F2"/>
          <w:sz w:val="28"/>
          <w:szCs w:val="28"/>
        </w:rPr>
        <w:t>2.2 Firmware Güncelleme ve Davranışsal Güvenlik</w:t>
      </w:r>
    </w:p>
    <w:p w14:paraId="51A1F6E3" w14:textId="77777777" w:rsidR="002C2948" w:rsidRDefault="00000000">
      <w:pPr>
        <w:spacing w:after="200" w:line="360" w:lineRule="auto"/>
        <w:jc w:val="both"/>
      </w:pPr>
      <w:r>
        <w:rPr>
          <w:sz w:val="24"/>
          <w:szCs w:val="24"/>
        </w:rPr>
        <w:t>ChkUp, firmware güncelleme prosedürlerindeki doğrulama adımlarını (özgünlük, bütünlük, tazelik, uyumluluk) analiz ederek eksik ya da hatalı doğrulama zafiyetlerini tespit etmektedir. Bu çalışma, incelenen literatür içinde önerdiğimiz yaklaşımla en güçlü tematik örtüşmeye sahiptir — ikisi de "firmware bütünlüğü" sorununu ele almaktadır. Ancak ChkUp tasarım-zamanı bir analiz sunar: bir üreticinin güncelleme mekanizmasının güvenli tasarlanıp tasarlanmadığını denetler. Buna karşılık önerdiğimiz yaklaşım post-hoc adli bir analiz sunar: bir analistin elindeki iki firmware imajını (referans ve şüpheli) karşılaştırarak tahrifat kanıtı üretir. Bu ayrım, iki yaklaşımın firmware yaşam döngüsünün farklı aşamalarını (önleyici tasarım denetimi vs. olay-sonrası adli inceleme) kapsadığını göstermektedir.</w:t>
      </w:r>
    </w:p>
    <w:p w14:paraId="4D894DFD" w14:textId="77777777" w:rsidR="002C2948" w:rsidRDefault="00000000">
      <w:pPr>
        <w:spacing w:after="200" w:line="360" w:lineRule="auto"/>
        <w:jc w:val="both"/>
      </w:pPr>
      <w:r>
        <w:rPr>
          <w:sz w:val="24"/>
          <w:szCs w:val="24"/>
        </w:rPr>
        <w:lastRenderedPageBreak/>
        <w:t>ROSA, AFL++ tabanlı fuzzing ve metamorfik bir oracle ile ikili programlarda arka kapı tespiti yapmaktadır. Reproduction çalışmamızda ROSA'nın Rust çekirdeği (cargo build --release) AFL++ bağımlılığı olmadan başarıyla derlenmiş, ancak kod incelemesiyle gerçek tespit kampanyasının zorunlu olarak AFL++ fuzzer'ına bağımlı olduğu (alternatif/hafif bir backend bulunmadığı) doğrulanmıştır. ROSA'nın dinamik/davranışsal yaklaşımı, önerdiğimiz statik/karşılaştırmalı yaklaşıma kıyasla potansiyel olarak daha derin ama çok daha maliyetli (saatler-günler süren fuzzing kampanyaları) bir tespit sunmaktadır.</w:t>
      </w:r>
    </w:p>
    <w:p w14:paraId="2781AF7D" w14:textId="77777777" w:rsidR="002C2948" w:rsidRPr="004B23B8" w:rsidRDefault="00000000">
      <w:pPr>
        <w:pStyle w:val="Balk2"/>
        <w:spacing w:before="300" w:after="150"/>
        <w:rPr>
          <w:color w:val="0D0D0D" w:themeColor="text1" w:themeTint="F2"/>
        </w:rPr>
      </w:pPr>
      <w:r w:rsidRPr="004B23B8">
        <w:rPr>
          <w:b/>
          <w:bCs/>
          <w:color w:val="0D0D0D" w:themeColor="text1" w:themeTint="F2"/>
          <w:sz w:val="28"/>
          <w:szCs w:val="28"/>
        </w:rPr>
        <w:t>2.3 Adli Bilişim Odaklı Çalışmalar</w:t>
      </w:r>
    </w:p>
    <w:p w14:paraId="35361A50" w14:textId="77777777" w:rsidR="002C2948" w:rsidRDefault="00000000">
      <w:pPr>
        <w:spacing w:after="200" w:line="360" w:lineRule="auto"/>
        <w:jc w:val="both"/>
      </w:pPr>
      <w:r>
        <w:rPr>
          <w:sz w:val="24"/>
          <w:szCs w:val="24"/>
        </w:rPr>
        <w:t>UEFI Memory Forensics, UEFI bellek döküntülerinden (memory dump) yüklü imajları "carving" tekniğiyle çıkarıp inline/trampoline hook ve pointer hooking gibi tehditleri tespit eden bir çerçeve sunmaktadır. Bu çalışma, adli bilişim terminolojisini ve imza/yapı tabanlı tespit felsefesini (YARA kurallarımıza benzer şekilde) paylaştığımız için literatürdeki en yakın ikinci çalışmadır. Temel fark, çalışma alanının çalışma zamanı bellek (UEFI Memory Forensics) ile statik firmware dosyası (önerdiğimiz yaklaşım) arasında olmasıdır — bu iki katman, ileride birleştirildiğinde daha kapsamlı bir statik+runtime adli analiz hattı oluşturabilir. Reproduction çalışmamızda, kaynak koddaki gerçek imza ve offset değerleri kullanılarak inşa edilen sentetik bir bellek dökümü üzerinde imza tarama ve doğrulama mantığı başarıyla doğrulanmıştır.</w:t>
      </w:r>
    </w:p>
    <w:p w14:paraId="779C48F9" w14:textId="77777777" w:rsidR="002C2948" w:rsidRDefault="00000000">
      <w:pPr>
        <w:spacing w:after="200" w:line="360" w:lineRule="auto"/>
        <w:jc w:val="both"/>
      </w:pPr>
      <w:r>
        <w:rPr>
          <w:sz w:val="24"/>
          <w:szCs w:val="24"/>
        </w:rPr>
        <w:t>FirmRCA, fuzzing sonrası ARM gömülü firmware'lerde olay-tabanlı hata lokalizasyonu sunmaktadır; bir çökmenin (crash) kök nedenini tersine yürütme (reverse execution) ile bulmaktadır. FirmRCA'nın "bir olayın nedenini iz sürerek bulma" felsefesi, önerdiğimiz yaklaşımın "tahrifatın kanıtını zaman çizelgesi ve delil zinciriyle izlenebilir kılma" felsefesiyle metodolojik bir benzerlik taşımaktadır, ancak problem sınıfları farklıdır (yazılım hatası kök nedeni vs. dosya bütünlüğü ihlali). Reproduction çalışmamızda, hazır bir demo veri seti üzerinde 168.542 komutluk bir tersine yürütme başarıyla tamamlanmış, 53 taintli komut ve 69 taint çifti tespit edilmiştir.</w:t>
      </w:r>
    </w:p>
    <w:p w14:paraId="41A87776" w14:textId="77777777" w:rsidR="002C2948" w:rsidRPr="004B23B8" w:rsidRDefault="00000000">
      <w:pPr>
        <w:pStyle w:val="Balk2"/>
        <w:spacing w:before="300" w:after="150"/>
        <w:rPr>
          <w:color w:val="0D0D0D" w:themeColor="text1" w:themeTint="F2"/>
        </w:rPr>
      </w:pPr>
      <w:r w:rsidRPr="004B23B8">
        <w:rPr>
          <w:b/>
          <w:bCs/>
          <w:color w:val="0D0D0D" w:themeColor="text1" w:themeTint="F2"/>
          <w:sz w:val="28"/>
          <w:szCs w:val="28"/>
        </w:rPr>
        <w:t>2.4 Tamamlayıcı Araçlar ve Genişletme Fırsatları</w:t>
      </w:r>
    </w:p>
    <w:p w14:paraId="76FBBF35" w14:textId="77777777" w:rsidR="002C2948" w:rsidRDefault="00000000">
      <w:pPr>
        <w:spacing w:after="200" w:line="360" w:lineRule="auto"/>
        <w:jc w:val="both"/>
      </w:pPr>
      <w:r>
        <w:rPr>
          <w:sz w:val="24"/>
          <w:szCs w:val="24"/>
        </w:rPr>
        <w:t xml:space="preserve">Üç çalışma, önerdiğimiz yaklaşıma doğrudan eklenebilecek genişletme fırsatları sunmaktadır. AutoFirm, IoT firmware'lerinde yeniden kullanılan kütüphaneleri ve versiyonlarını büyük ölçekte tespit etmektedir; reproduction çalışmamızda, aracın regex tabanlı versiyon çıkarma mantığının modern/minimal Linux dağıtımlarında (OpenWrt) genelleşmediği tespit edilmiştir — bu bulgu, YARA kural tabanlı yaklaşımımızın da benzer bir genelleşme riski taşıdığını </w:t>
      </w:r>
      <w:r>
        <w:rPr>
          <w:sz w:val="24"/>
          <w:szCs w:val="24"/>
        </w:rPr>
        <w:lastRenderedPageBreak/>
        <w:t>göstermesi bakımından önemlidir. UniBOM, SBOM (Software Bill of Materials) üretimi ve bilinen zafiyet (CVE) taramasını birleştirmektedir; reproduction çalışmamızda 338 bileşenlik bir envanter ve 8 gerçek zafiyet (1 kritik) tespit edilerek pipeline uçtan uca doğrulanmıştır. Pack-ALM, RoBERTa tabanlı öğrenilmiş bir dil modeliyle ikili bölümlerin paketlenmiş olup olmadığını sınıflandırmaktadır; önerdiğimiz yaklaşımın entropi tabanlı (dolaylı/vekil) paketleme tespiti ile karşılaştırıldığında, öğrenilmiş bir sınıflandırıcının daha yüksek hassasiyet sunma potansiyeli taşıdığı değerlendirilmektedir. Reproduction çalışmamızda Pack-ALM'in önceden eğitilmiş ağırlıkları başarıyla yüklenmiş ve gerçek bir ileri geçiş (forward pass) ile doğrulanmıştır.</w:t>
      </w:r>
    </w:p>
    <w:p w14:paraId="32E35030" w14:textId="77777777" w:rsidR="002C2948" w:rsidRDefault="00000000">
      <w:pPr>
        <w:spacing w:after="200" w:line="360" w:lineRule="auto"/>
        <w:jc w:val="both"/>
      </w:pPr>
      <w:r>
        <w:rPr>
          <w:sz w:val="24"/>
          <w:szCs w:val="24"/>
        </w:rPr>
        <w:t>Son olarak, LFwC büyük ölçekli (354GB, 10.913 firmware imajı) bir Linux firmware korpusu/benchmark kaynağıdır; bir araç değildir, ancak önerdiğimiz yaklaşımın gelecekte büyük ölçekte değerlendirilmesi için potansiyel bir kaynak teşkil etmektedir.</w:t>
      </w:r>
    </w:p>
    <w:p w14:paraId="558805B2" w14:textId="77777777" w:rsidR="002C2948" w:rsidRPr="004B23B8" w:rsidRDefault="00000000">
      <w:pPr>
        <w:pStyle w:val="Balk2"/>
        <w:spacing w:before="300" w:after="150"/>
        <w:rPr>
          <w:color w:val="0D0D0D" w:themeColor="text1" w:themeTint="F2"/>
        </w:rPr>
      </w:pPr>
      <w:r w:rsidRPr="004B23B8">
        <w:rPr>
          <w:b/>
          <w:bCs/>
          <w:color w:val="0D0D0D" w:themeColor="text1" w:themeTint="F2"/>
          <w:sz w:val="28"/>
          <w:szCs w:val="28"/>
        </w:rPr>
        <w:t>2.5 Literatürdeki Konumumuz</w:t>
      </w:r>
    </w:p>
    <w:p w14:paraId="6EC62461" w14:textId="4AC58413" w:rsidR="008E11E5" w:rsidRPr="008E11E5" w:rsidRDefault="00000000" w:rsidP="008E11E5">
      <w:pPr>
        <w:spacing w:after="200" w:line="360" w:lineRule="auto"/>
        <w:jc w:val="both"/>
        <w:rPr>
          <w:sz w:val="24"/>
          <w:szCs w:val="24"/>
        </w:rPr>
      </w:pPr>
      <w:r>
        <w:rPr>
          <w:sz w:val="24"/>
          <w:szCs w:val="24"/>
        </w:rPr>
        <w:t>Tablo 1, incelenen 10 çalışmayı odak alanı ve önerdiğimiz yaklaşımla ilişkisi bakımından özetlemektedir. İncelenen çalışmaların çoğu ya saldırı/zafiyet keşfine (ROSA, PEMU, FirmRCA) ya da geliştirici-tarafı önleyici doğrulamaya (ChkUp) odaklanmaktadır. Önerdiğimiz yaklaşım ise analist-tarafı, post-hoc, karşılaştırmalı bir adli bilişim aracı sunarak, delil zincirini koruyarak iki firmware imajı arasında fark analizi yapan, incelenen literatür içinde doğrudan bir emsali bulunmayan bir konuma yerleşmektedir</w:t>
      </w:r>
      <w:r w:rsidR="008E11E5">
        <w:rPr>
          <w:sz w:val="24"/>
          <w:szCs w:val="24"/>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2"/>
        <w:gridCol w:w="2480"/>
        <w:gridCol w:w="2641"/>
        <w:gridCol w:w="2021"/>
      </w:tblGrid>
      <w:tr w:rsidR="008E11E5" w:rsidRPr="008E11E5" w14:paraId="53371DEA" w14:textId="77777777" w:rsidTr="008E11E5">
        <w:trPr>
          <w:tblHeader/>
          <w:tblCellSpacing w:w="15" w:type="dxa"/>
        </w:trPr>
        <w:tc>
          <w:tcPr>
            <w:tcW w:w="0" w:type="auto"/>
            <w:vAlign w:val="center"/>
            <w:hideMark/>
          </w:tcPr>
          <w:p w14:paraId="0AD40792" w14:textId="77777777" w:rsidR="008E11E5" w:rsidRPr="008E11E5" w:rsidRDefault="008E11E5" w:rsidP="008E11E5">
            <w:pPr>
              <w:spacing w:after="200" w:line="360" w:lineRule="auto"/>
              <w:rPr>
                <w:b/>
                <w:bCs/>
              </w:rPr>
            </w:pPr>
            <w:r w:rsidRPr="008E11E5">
              <w:rPr>
                <w:b/>
                <w:bCs/>
              </w:rPr>
              <w:t>Makale</w:t>
            </w:r>
          </w:p>
        </w:tc>
        <w:tc>
          <w:tcPr>
            <w:tcW w:w="0" w:type="auto"/>
            <w:vAlign w:val="center"/>
            <w:hideMark/>
          </w:tcPr>
          <w:p w14:paraId="033312DB" w14:textId="77777777" w:rsidR="008E11E5" w:rsidRPr="008E11E5" w:rsidRDefault="008E11E5" w:rsidP="008E11E5">
            <w:pPr>
              <w:spacing w:after="200" w:line="360" w:lineRule="auto"/>
              <w:rPr>
                <w:b/>
                <w:bCs/>
              </w:rPr>
            </w:pPr>
            <w:r w:rsidRPr="008E11E5">
              <w:rPr>
                <w:b/>
                <w:bCs/>
              </w:rPr>
              <w:t>Odak Alanı</w:t>
            </w:r>
          </w:p>
        </w:tc>
        <w:tc>
          <w:tcPr>
            <w:tcW w:w="0" w:type="auto"/>
            <w:vAlign w:val="center"/>
            <w:hideMark/>
          </w:tcPr>
          <w:p w14:paraId="5967127B" w14:textId="77777777" w:rsidR="008E11E5" w:rsidRPr="008E11E5" w:rsidRDefault="008E11E5" w:rsidP="008E11E5">
            <w:pPr>
              <w:spacing w:after="200" w:line="360" w:lineRule="auto"/>
              <w:rPr>
                <w:b/>
                <w:bCs/>
              </w:rPr>
            </w:pPr>
            <w:r w:rsidRPr="008E11E5">
              <w:rPr>
                <w:b/>
                <w:bCs/>
              </w:rPr>
              <w:t>Projeyle İlişkisi</w:t>
            </w:r>
          </w:p>
        </w:tc>
        <w:tc>
          <w:tcPr>
            <w:tcW w:w="0" w:type="auto"/>
            <w:vAlign w:val="center"/>
            <w:hideMark/>
          </w:tcPr>
          <w:p w14:paraId="623CD7FE" w14:textId="77777777" w:rsidR="008E11E5" w:rsidRPr="008E11E5" w:rsidRDefault="008E11E5" w:rsidP="008E11E5">
            <w:pPr>
              <w:spacing w:after="200" w:line="360" w:lineRule="auto"/>
              <w:rPr>
                <w:b/>
                <w:bCs/>
              </w:rPr>
            </w:pPr>
            <w:r w:rsidRPr="008E11E5">
              <w:rPr>
                <w:b/>
                <w:bCs/>
              </w:rPr>
              <w:t>Reproduction Sonucu</w:t>
            </w:r>
          </w:p>
        </w:tc>
      </w:tr>
      <w:tr w:rsidR="008E11E5" w:rsidRPr="008E11E5" w14:paraId="41FB7EE2" w14:textId="77777777" w:rsidTr="008E11E5">
        <w:trPr>
          <w:tblCellSpacing w:w="15" w:type="dxa"/>
        </w:trPr>
        <w:tc>
          <w:tcPr>
            <w:tcW w:w="0" w:type="auto"/>
            <w:vAlign w:val="center"/>
            <w:hideMark/>
          </w:tcPr>
          <w:p w14:paraId="04837067" w14:textId="77777777" w:rsidR="008E11E5" w:rsidRPr="008E11E5" w:rsidRDefault="008E11E5" w:rsidP="008E11E5">
            <w:pPr>
              <w:spacing w:after="200" w:line="360" w:lineRule="auto"/>
            </w:pPr>
            <w:r w:rsidRPr="008E11E5">
              <w:t>FFXE</w:t>
            </w:r>
          </w:p>
        </w:tc>
        <w:tc>
          <w:tcPr>
            <w:tcW w:w="0" w:type="auto"/>
            <w:vAlign w:val="center"/>
            <w:hideMark/>
          </w:tcPr>
          <w:p w14:paraId="417BE374" w14:textId="77777777" w:rsidR="008E11E5" w:rsidRPr="008E11E5" w:rsidRDefault="008E11E5" w:rsidP="008E11E5">
            <w:pPr>
              <w:spacing w:after="200" w:line="360" w:lineRule="auto"/>
            </w:pPr>
            <w:r w:rsidRPr="008E11E5">
              <w:t>CFG çıkarımı (dinamik)</w:t>
            </w:r>
          </w:p>
        </w:tc>
        <w:tc>
          <w:tcPr>
            <w:tcW w:w="0" w:type="auto"/>
            <w:vAlign w:val="center"/>
            <w:hideMark/>
          </w:tcPr>
          <w:p w14:paraId="48D1B048" w14:textId="77777777" w:rsidR="008E11E5" w:rsidRPr="008E11E5" w:rsidRDefault="008E11E5" w:rsidP="008E11E5">
            <w:pPr>
              <w:spacing w:after="200" w:line="360" w:lineRule="auto"/>
            </w:pPr>
            <w:r w:rsidRPr="008E11E5">
              <w:t>Analiz/keşif, farklı amaç</w:t>
            </w:r>
          </w:p>
        </w:tc>
        <w:tc>
          <w:tcPr>
            <w:tcW w:w="0" w:type="auto"/>
            <w:vAlign w:val="center"/>
            <w:hideMark/>
          </w:tcPr>
          <w:p w14:paraId="2F649D83" w14:textId="77777777" w:rsidR="008E11E5" w:rsidRPr="008E11E5" w:rsidRDefault="008E11E5" w:rsidP="008E11E5">
            <w:pPr>
              <w:spacing w:after="200" w:line="360" w:lineRule="auto"/>
            </w:pPr>
            <w:r w:rsidRPr="008E11E5">
              <w:t>Tam doğrulandı</w:t>
            </w:r>
          </w:p>
        </w:tc>
      </w:tr>
      <w:tr w:rsidR="008E11E5" w:rsidRPr="008E11E5" w14:paraId="2BAAFFD7" w14:textId="77777777" w:rsidTr="008E11E5">
        <w:trPr>
          <w:tblCellSpacing w:w="15" w:type="dxa"/>
        </w:trPr>
        <w:tc>
          <w:tcPr>
            <w:tcW w:w="0" w:type="auto"/>
            <w:vAlign w:val="center"/>
            <w:hideMark/>
          </w:tcPr>
          <w:p w14:paraId="683F8B33" w14:textId="77777777" w:rsidR="008E11E5" w:rsidRPr="008E11E5" w:rsidRDefault="008E11E5" w:rsidP="008E11E5">
            <w:pPr>
              <w:spacing w:after="200" w:line="360" w:lineRule="auto"/>
            </w:pPr>
            <w:r w:rsidRPr="008E11E5">
              <w:t>ROSA</w:t>
            </w:r>
          </w:p>
        </w:tc>
        <w:tc>
          <w:tcPr>
            <w:tcW w:w="0" w:type="auto"/>
            <w:vAlign w:val="center"/>
            <w:hideMark/>
          </w:tcPr>
          <w:p w14:paraId="68CC2154" w14:textId="77777777" w:rsidR="008E11E5" w:rsidRPr="008E11E5" w:rsidRDefault="008E11E5" w:rsidP="008E11E5">
            <w:pPr>
              <w:spacing w:after="200" w:line="360" w:lineRule="auto"/>
            </w:pPr>
            <w:r w:rsidRPr="008E11E5">
              <w:t>Backdoor tespiti (fuzzing)</w:t>
            </w:r>
          </w:p>
        </w:tc>
        <w:tc>
          <w:tcPr>
            <w:tcW w:w="0" w:type="auto"/>
            <w:vAlign w:val="center"/>
            <w:hideMark/>
          </w:tcPr>
          <w:p w14:paraId="7A2792BE" w14:textId="77777777" w:rsidR="008E11E5" w:rsidRPr="008E11E5" w:rsidRDefault="008E11E5" w:rsidP="008E11E5">
            <w:pPr>
              <w:spacing w:after="200" w:line="360" w:lineRule="auto"/>
            </w:pPr>
            <w:r w:rsidRPr="008E11E5">
              <w:t>Davranışsal, farklı aşama</w:t>
            </w:r>
          </w:p>
        </w:tc>
        <w:tc>
          <w:tcPr>
            <w:tcW w:w="0" w:type="auto"/>
            <w:vAlign w:val="center"/>
            <w:hideMark/>
          </w:tcPr>
          <w:p w14:paraId="5B356D32" w14:textId="77777777" w:rsidR="008E11E5" w:rsidRPr="008E11E5" w:rsidRDefault="008E11E5" w:rsidP="008E11E5">
            <w:pPr>
              <w:spacing w:after="200" w:line="360" w:lineRule="auto"/>
            </w:pPr>
            <w:r w:rsidRPr="008E11E5">
              <w:t>Kısmi (derlendi)</w:t>
            </w:r>
          </w:p>
        </w:tc>
      </w:tr>
      <w:tr w:rsidR="008E11E5" w:rsidRPr="008E11E5" w14:paraId="62654E38" w14:textId="77777777" w:rsidTr="008E11E5">
        <w:trPr>
          <w:tblCellSpacing w:w="15" w:type="dxa"/>
        </w:trPr>
        <w:tc>
          <w:tcPr>
            <w:tcW w:w="0" w:type="auto"/>
            <w:vAlign w:val="center"/>
            <w:hideMark/>
          </w:tcPr>
          <w:p w14:paraId="5A25AB6D" w14:textId="77777777" w:rsidR="008E11E5" w:rsidRPr="008E11E5" w:rsidRDefault="008E11E5" w:rsidP="008E11E5">
            <w:pPr>
              <w:spacing w:after="200" w:line="360" w:lineRule="auto"/>
            </w:pPr>
            <w:r w:rsidRPr="008E11E5">
              <w:t>AutoFirm</w:t>
            </w:r>
          </w:p>
        </w:tc>
        <w:tc>
          <w:tcPr>
            <w:tcW w:w="0" w:type="auto"/>
            <w:vAlign w:val="center"/>
            <w:hideMark/>
          </w:tcPr>
          <w:p w14:paraId="722E6A02" w14:textId="77777777" w:rsidR="008E11E5" w:rsidRPr="008E11E5" w:rsidRDefault="008E11E5" w:rsidP="008E11E5">
            <w:pPr>
              <w:spacing w:after="200" w:line="360" w:lineRule="auto"/>
            </w:pPr>
            <w:r w:rsidRPr="008E11E5">
              <w:t>Kütüphane/versiyon tespiti</w:t>
            </w:r>
          </w:p>
        </w:tc>
        <w:tc>
          <w:tcPr>
            <w:tcW w:w="0" w:type="auto"/>
            <w:vAlign w:val="center"/>
            <w:hideMark/>
          </w:tcPr>
          <w:p w14:paraId="79A5C0C4" w14:textId="77777777" w:rsidR="008E11E5" w:rsidRPr="008E11E5" w:rsidRDefault="008E11E5" w:rsidP="008E11E5">
            <w:pPr>
              <w:spacing w:after="200" w:line="360" w:lineRule="auto"/>
            </w:pPr>
            <w:r w:rsidRPr="008E11E5">
              <w:t>Tamamlayıcı, genişletme fırsatı</w:t>
            </w:r>
          </w:p>
        </w:tc>
        <w:tc>
          <w:tcPr>
            <w:tcW w:w="0" w:type="auto"/>
            <w:vAlign w:val="center"/>
            <w:hideMark/>
          </w:tcPr>
          <w:p w14:paraId="66E10AB9" w14:textId="77777777" w:rsidR="008E11E5" w:rsidRPr="008E11E5" w:rsidRDefault="008E11E5" w:rsidP="008E11E5">
            <w:pPr>
              <w:spacing w:after="200" w:line="360" w:lineRule="auto"/>
            </w:pPr>
            <w:r w:rsidRPr="008E11E5">
              <w:t>Kısmi (regex sınırlaması)</w:t>
            </w:r>
          </w:p>
        </w:tc>
      </w:tr>
      <w:tr w:rsidR="008E11E5" w:rsidRPr="008E11E5" w14:paraId="6862B1C0" w14:textId="77777777" w:rsidTr="008E11E5">
        <w:trPr>
          <w:tblCellSpacing w:w="15" w:type="dxa"/>
        </w:trPr>
        <w:tc>
          <w:tcPr>
            <w:tcW w:w="0" w:type="auto"/>
            <w:vAlign w:val="center"/>
            <w:hideMark/>
          </w:tcPr>
          <w:p w14:paraId="6376B393" w14:textId="77777777" w:rsidR="008E11E5" w:rsidRPr="008E11E5" w:rsidRDefault="008E11E5" w:rsidP="008E11E5">
            <w:pPr>
              <w:spacing w:after="200" w:line="360" w:lineRule="auto"/>
            </w:pPr>
            <w:r w:rsidRPr="008E11E5">
              <w:t>ChkUp</w:t>
            </w:r>
          </w:p>
        </w:tc>
        <w:tc>
          <w:tcPr>
            <w:tcW w:w="0" w:type="auto"/>
            <w:vAlign w:val="center"/>
            <w:hideMark/>
          </w:tcPr>
          <w:p w14:paraId="5BD40A8F" w14:textId="77777777" w:rsidR="008E11E5" w:rsidRPr="008E11E5" w:rsidRDefault="008E11E5" w:rsidP="008E11E5">
            <w:pPr>
              <w:spacing w:after="200" w:line="360" w:lineRule="auto"/>
            </w:pPr>
            <w:r w:rsidRPr="008E11E5">
              <w:t>Güncelleme doğrulama zafiyeti</w:t>
            </w:r>
          </w:p>
        </w:tc>
        <w:tc>
          <w:tcPr>
            <w:tcW w:w="0" w:type="auto"/>
            <w:vAlign w:val="center"/>
            <w:hideMark/>
          </w:tcPr>
          <w:p w14:paraId="70A5E8F6" w14:textId="77777777" w:rsidR="008E11E5" w:rsidRPr="008E11E5" w:rsidRDefault="008E11E5" w:rsidP="008E11E5">
            <w:pPr>
              <w:spacing w:after="200" w:line="360" w:lineRule="auto"/>
            </w:pPr>
            <w:r w:rsidRPr="008E11E5">
              <w:t>En yakın örtüşme, farklı aşama</w:t>
            </w:r>
          </w:p>
        </w:tc>
        <w:tc>
          <w:tcPr>
            <w:tcW w:w="0" w:type="auto"/>
            <w:vAlign w:val="center"/>
            <w:hideMark/>
          </w:tcPr>
          <w:p w14:paraId="27E71D7B" w14:textId="77777777" w:rsidR="008E11E5" w:rsidRPr="008E11E5" w:rsidRDefault="008E11E5" w:rsidP="008E11E5">
            <w:pPr>
              <w:spacing w:after="200" w:line="360" w:lineRule="auto"/>
            </w:pPr>
            <w:r w:rsidRPr="008E11E5">
              <w:t>Kısmi (bug tespit edildi)</w:t>
            </w:r>
          </w:p>
        </w:tc>
      </w:tr>
      <w:tr w:rsidR="008E11E5" w:rsidRPr="008E11E5" w14:paraId="186B85BB" w14:textId="77777777" w:rsidTr="008E11E5">
        <w:trPr>
          <w:tblCellSpacing w:w="15" w:type="dxa"/>
        </w:trPr>
        <w:tc>
          <w:tcPr>
            <w:tcW w:w="0" w:type="auto"/>
            <w:vAlign w:val="center"/>
            <w:hideMark/>
          </w:tcPr>
          <w:p w14:paraId="2D4A0A30" w14:textId="77777777" w:rsidR="008E11E5" w:rsidRPr="008E11E5" w:rsidRDefault="008E11E5" w:rsidP="008E11E5">
            <w:pPr>
              <w:spacing w:after="200" w:line="360" w:lineRule="auto"/>
            </w:pPr>
            <w:r w:rsidRPr="008E11E5">
              <w:t>PEMU</w:t>
            </w:r>
          </w:p>
        </w:tc>
        <w:tc>
          <w:tcPr>
            <w:tcW w:w="0" w:type="auto"/>
            <w:vAlign w:val="center"/>
            <w:hideMark/>
          </w:tcPr>
          <w:p w14:paraId="0C759B72" w14:textId="77777777" w:rsidR="008E11E5" w:rsidRPr="008E11E5" w:rsidRDefault="008E11E5" w:rsidP="008E11E5">
            <w:pPr>
              <w:spacing w:after="200" w:line="360" w:lineRule="auto"/>
            </w:pPr>
            <w:r w:rsidRPr="008E11E5">
              <w:t>Protokol fuzzing</w:t>
            </w:r>
          </w:p>
        </w:tc>
        <w:tc>
          <w:tcPr>
            <w:tcW w:w="0" w:type="auto"/>
            <w:vAlign w:val="center"/>
            <w:hideMark/>
          </w:tcPr>
          <w:p w14:paraId="16D92D3F" w14:textId="77777777" w:rsidR="008E11E5" w:rsidRPr="008E11E5" w:rsidRDefault="008E11E5" w:rsidP="008E11E5">
            <w:pPr>
              <w:spacing w:after="200" w:line="360" w:lineRule="auto"/>
            </w:pPr>
            <w:r w:rsidRPr="008E11E5">
              <w:t>Analiz/keşif, farklı amaç</w:t>
            </w:r>
          </w:p>
        </w:tc>
        <w:tc>
          <w:tcPr>
            <w:tcW w:w="0" w:type="auto"/>
            <w:vAlign w:val="center"/>
            <w:hideMark/>
          </w:tcPr>
          <w:p w14:paraId="24A992A5" w14:textId="77777777" w:rsidR="008E11E5" w:rsidRPr="008E11E5" w:rsidRDefault="008E11E5" w:rsidP="008E11E5">
            <w:pPr>
              <w:spacing w:after="200" w:line="360" w:lineRule="auto"/>
            </w:pPr>
            <w:r w:rsidRPr="008E11E5">
              <w:t>Tam doğrulandı</w:t>
            </w:r>
          </w:p>
        </w:tc>
      </w:tr>
      <w:tr w:rsidR="008E11E5" w:rsidRPr="008E11E5" w14:paraId="3E920232" w14:textId="77777777" w:rsidTr="008E11E5">
        <w:trPr>
          <w:tblCellSpacing w:w="15" w:type="dxa"/>
        </w:trPr>
        <w:tc>
          <w:tcPr>
            <w:tcW w:w="0" w:type="auto"/>
            <w:vAlign w:val="center"/>
            <w:hideMark/>
          </w:tcPr>
          <w:p w14:paraId="6FF61CD7" w14:textId="77777777" w:rsidR="008E11E5" w:rsidRPr="008E11E5" w:rsidRDefault="008E11E5" w:rsidP="008E11E5">
            <w:pPr>
              <w:spacing w:after="200" w:line="360" w:lineRule="auto"/>
            </w:pPr>
            <w:r w:rsidRPr="008E11E5">
              <w:lastRenderedPageBreak/>
              <w:t>UEFI Memory Forensics</w:t>
            </w:r>
          </w:p>
        </w:tc>
        <w:tc>
          <w:tcPr>
            <w:tcW w:w="0" w:type="auto"/>
            <w:vAlign w:val="center"/>
            <w:hideMark/>
          </w:tcPr>
          <w:p w14:paraId="4FBD5000" w14:textId="77777777" w:rsidR="008E11E5" w:rsidRPr="008E11E5" w:rsidRDefault="008E11E5" w:rsidP="008E11E5">
            <w:pPr>
              <w:spacing w:after="200" w:line="360" w:lineRule="auto"/>
            </w:pPr>
            <w:r w:rsidRPr="008E11E5">
              <w:t>Bellek adli bilişimi</w:t>
            </w:r>
          </w:p>
        </w:tc>
        <w:tc>
          <w:tcPr>
            <w:tcW w:w="0" w:type="auto"/>
            <w:vAlign w:val="center"/>
            <w:hideMark/>
          </w:tcPr>
          <w:p w14:paraId="2CB2FF6B" w14:textId="77777777" w:rsidR="008E11E5" w:rsidRPr="008E11E5" w:rsidRDefault="008E11E5" w:rsidP="008E11E5">
            <w:pPr>
              <w:spacing w:after="200" w:line="360" w:lineRule="auto"/>
            </w:pPr>
            <w:r w:rsidRPr="008E11E5">
              <w:t>En yakın 2. örtüşme, farklı katman</w:t>
            </w:r>
          </w:p>
        </w:tc>
        <w:tc>
          <w:tcPr>
            <w:tcW w:w="0" w:type="auto"/>
            <w:vAlign w:val="center"/>
            <w:hideMark/>
          </w:tcPr>
          <w:p w14:paraId="69FD8987" w14:textId="77777777" w:rsidR="008E11E5" w:rsidRPr="008E11E5" w:rsidRDefault="008E11E5" w:rsidP="008E11E5">
            <w:pPr>
              <w:spacing w:after="200" w:line="360" w:lineRule="auto"/>
            </w:pPr>
            <w:r w:rsidRPr="008E11E5">
              <w:t>Tam doğrulandı</w:t>
            </w:r>
          </w:p>
        </w:tc>
      </w:tr>
      <w:tr w:rsidR="008E11E5" w:rsidRPr="008E11E5" w14:paraId="0A5BB732" w14:textId="77777777" w:rsidTr="008E11E5">
        <w:trPr>
          <w:tblCellSpacing w:w="15" w:type="dxa"/>
        </w:trPr>
        <w:tc>
          <w:tcPr>
            <w:tcW w:w="0" w:type="auto"/>
            <w:vAlign w:val="center"/>
            <w:hideMark/>
          </w:tcPr>
          <w:p w14:paraId="026AFF33" w14:textId="77777777" w:rsidR="008E11E5" w:rsidRPr="008E11E5" w:rsidRDefault="008E11E5" w:rsidP="008E11E5">
            <w:pPr>
              <w:spacing w:after="200" w:line="360" w:lineRule="auto"/>
            </w:pPr>
            <w:r w:rsidRPr="008E11E5">
              <w:t>FirmRCA</w:t>
            </w:r>
          </w:p>
        </w:tc>
        <w:tc>
          <w:tcPr>
            <w:tcW w:w="0" w:type="auto"/>
            <w:vAlign w:val="center"/>
            <w:hideMark/>
          </w:tcPr>
          <w:p w14:paraId="5DCD027F" w14:textId="77777777" w:rsidR="008E11E5" w:rsidRPr="008E11E5" w:rsidRDefault="008E11E5" w:rsidP="008E11E5">
            <w:pPr>
              <w:spacing w:after="200" w:line="360" w:lineRule="auto"/>
            </w:pPr>
            <w:r w:rsidRPr="008E11E5">
              <w:t>Kök neden analizi (crash)</w:t>
            </w:r>
          </w:p>
        </w:tc>
        <w:tc>
          <w:tcPr>
            <w:tcW w:w="0" w:type="auto"/>
            <w:vAlign w:val="center"/>
            <w:hideMark/>
          </w:tcPr>
          <w:p w14:paraId="1CE59A1B" w14:textId="77777777" w:rsidR="008E11E5" w:rsidRPr="008E11E5" w:rsidRDefault="008E11E5" w:rsidP="008E11E5">
            <w:pPr>
              <w:spacing w:after="200" w:line="360" w:lineRule="auto"/>
            </w:pPr>
            <w:r w:rsidRPr="008E11E5">
              <w:t>Metodolojik benzerlik</w:t>
            </w:r>
          </w:p>
        </w:tc>
        <w:tc>
          <w:tcPr>
            <w:tcW w:w="0" w:type="auto"/>
            <w:vAlign w:val="center"/>
            <w:hideMark/>
          </w:tcPr>
          <w:p w14:paraId="2F55D1BB" w14:textId="77777777" w:rsidR="008E11E5" w:rsidRPr="008E11E5" w:rsidRDefault="008E11E5" w:rsidP="008E11E5">
            <w:pPr>
              <w:spacing w:after="200" w:line="360" w:lineRule="auto"/>
            </w:pPr>
            <w:r w:rsidRPr="008E11E5">
              <w:t>Tam doğrulandı</w:t>
            </w:r>
          </w:p>
        </w:tc>
      </w:tr>
      <w:tr w:rsidR="008E11E5" w:rsidRPr="008E11E5" w14:paraId="4E891525" w14:textId="77777777" w:rsidTr="008E11E5">
        <w:trPr>
          <w:tblCellSpacing w:w="15" w:type="dxa"/>
        </w:trPr>
        <w:tc>
          <w:tcPr>
            <w:tcW w:w="0" w:type="auto"/>
            <w:vAlign w:val="center"/>
            <w:hideMark/>
          </w:tcPr>
          <w:p w14:paraId="7B8FBED8" w14:textId="77777777" w:rsidR="008E11E5" w:rsidRPr="008E11E5" w:rsidRDefault="008E11E5" w:rsidP="008E11E5">
            <w:pPr>
              <w:spacing w:after="200" w:line="360" w:lineRule="auto"/>
            </w:pPr>
            <w:r w:rsidRPr="008E11E5">
              <w:t>LFwC</w:t>
            </w:r>
          </w:p>
        </w:tc>
        <w:tc>
          <w:tcPr>
            <w:tcW w:w="0" w:type="auto"/>
            <w:vAlign w:val="center"/>
            <w:hideMark/>
          </w:tcPr>
          <w:p w14:paraId="549961D3" w14:textId="77777777" w:rsidR="008E11E5" w:rsidRPr="008E11E5" w:rsidRDefault="008E11E5" w:rsidP="008E11E5">
            <w:pPr>
              <w:spacing w:after="200" w:line="360" w:lineRule="auto"/>
            </w:pPr>
            <w:r w:rsidRPr="008E11E5">
              <w:t>Veri seti (araç değil)</w:t>
            </w:r>
          </w:p>
        </w:tc>
        <w:tc>
          <w:tcPr>
            <w:tcW w:w="0" w:type="auto"/>
            <w:vAlign w:val="center"/>
            <w:hideMark/>
          </w:tcPr>
          <w:p w14:paraId="1B4AB126" w14:textId="77777777" w:rsidR="008E11E5" w:rsidRPr="008E11E5" w:rsidRDefault="008E11E5" w:rsidP="008E11E5">
            <w:pPr>
              <w:spacing w:after="200" w:line="360" w:lineRule="auto"/>
            </w:pPr>
            <w:r w:rsidRPr="008E11E5">
              <w:t>Gelecek değerlendirme kaynağı</w:t>
            </w:r>
          </w:p>
        </w:tc>
        <w:tc>
          <w:tcPr>
            <w:tcW w:w="0" w:type="auto"/>
            <w:vAlign w:val="center"/>
            <w:hideMark/>
          </w:tcPr>
          <w:p w14:paraId="1B7ABBF3" w14:textId="77777777" w:rsidR="008E11E5" w:rsidRPr="008E11E5" w:rsidRDefault="008E11E5" w:rsidP="008E11E5">
            <w:pPr>
              <w:spacing w:after="200" w:line="360" w:lineRule="auto"/>
            </w:pPr>
            <w:r w:rsidRPr="008E11E5">
              <w:t>Erişilemedi</w:t>
            </w:r>
          </w:p>
        </w:tc>
      </w:tr>
      <w:tr w:rsidR="008E11E5" w:rsidRPr="008E11E5" w14:paraId="7ECC2F17" w14:textId="77777777" w:rsidTr="008E11E5">
        <w:trPr>
          <w:tblCellSpacing w:w="15" w:type="dxa"/>
        </w:trPr>
        <w:tc>
          <w:tcPr>
            <w:tcW w:w="0" w:type="auto"/>
            <w:vAlign w:val="center"/>
            <w:hideMark/>
          </w:tcPr>
          <w:p w14:paraId="7BFD0B4C" w14:textId="77777777" w:rsidR="008E11E5" w:rsidRPr="008E11E5" w:rsidRDefault="008E11E5" w:rsidP="008E11E5">
            <w:pPr>
              <w:spacing w:after="200" w:line="360" w:lineRule="auto"/>
            </w:pPr>
            <w:r w:rsidRPr="008E11E5">
              <w:t>UniBOM</w:t>
            </w:r>
          </w:p>
        </w:tc>
        <w:tc>
          <w:tcPr>
            <w:tcW w:w="0" w:type="auto"/>
            <w:vAlign w:val="center"/>
            <w:hideMark/>
          </w:tcPr>
          <w:p w14:paraId="35A7612A" w14:textId="77777777" w:rsidR="008E11E5" w:rsidRPr="008E11E5" w:rsidRDefault="008E11E5" w:rsidP="008E11E5">
            <w:pPr>
              <w:spacing w:after="200" w:line="360" w:lineRule="auto"/>
            </w:pPr>
            <w:r w:rsidRPr="008E11E5">
              <w:t>SBOM+CVE tarama</w:t>
            </w:r>
          </w:p>
        </w:tc>
        <w:tc>
          <w:tcPr>
            <w:tcW w:w="0" w:type="auto"/>
            <w:vAlign w:val="center"/>
            <w:hideMark/>
          </w:tcPr>
          <w:p w14:paraId="71475A27" w14:textId="77777777" w:rsidR="008E11E5" w:rsidRPr="008E11E5" w:rsidRDefault="008E11E5" w:rsidP="008E11E5">
            <w:pPr>
              <w:spacing w:after="200" w:line="360" w:lineRule="auto"/>
            </w:pPr>
            <w:r w:rsidRPr="008E11E5">
              <w:t>Tamamlayıcı, genişletme fırsatı</w:t>
            </w:r>
          </w:p>
        </w:tc>
        <w:tc>
          <w:tcPr>
            <w:tcW w:w="0" w:type="auto"/>
            <w:vAlign w:val="center"/>
            <w:hideMark/>
          </w:tcPr>
          <w:p w14:paraId="595A7876" w14:textId="77777777" w:rsidR="008E11E5" w:rsidRPr="008E11E5" w:rsidRDefault="008E11E5" w:rsidP="008E11E5">
            <w:pPr>
              <w:spacing w:after="200" w:line="360" w:lineRule="auto"/>
            </w:pPr>
            <w:r w:rsidRPr="008E11E5">
              <w:t>Tam doğrulandı</w:t>
            </w:r>
          </w:p>
        </w:tc>
      </w:tr>
      <w:tr w:rsidR="008E11E5" w:rsidRPr="008E11E5" w14:paraId="19F260E8" w14:textId="77777777" w:rsidTr="008E11E5">
        <w:trPr>
          <w:tblCellSpacing w:w="15" w:type="dxa"/>
        </w:trPr>
        <w:tc>
          <w:tcPr>
            <w:tcW w:w="0" w:type="auto"/>
            <w:vAlign w:val="center"/>
            <w:hideMark/>
          </w:tcPr>
          <w:p w14:paraId="7A377898" w14:textId="77777777" w:rsidR="008E11E5" w:rsidRPr="008E11E5" w:rsidRDefault="008E11E5" w:rsidP="008E11E5">
            <w:pPr>
              <w:spacing w:after="200" w:line="360" w:lineRule="auto"/>
            </w:pPr>
            <w:r w:rsidRPr="008E11E5">
              <w:t>Pack-ALM</w:t>
            </w:r>
          </w:p>
        </w:tc>
        <w:tc>
          <w:tcPr>
            <w:tcW w:w="0" w:type="auto"/>
            <w:vAlign w:val="center"/>
            <w:hideMark/>
          </w:tcPr>
          <w:p w14:paraId="3D1A4725" w14:textId="77777777" w:rsidR="008E11E5" w:rsidRPr="008E11E5" w:rsidRDefault="008E11E5" w:rsidP="008E11E5">
            <w:pPr>
              <w:spacing w:after="200" w:line="360" w:lineRule="auto"/>
            </w:pPr>
            <w:r w:rsidRPr="008E11E5">
              <w:t>ML tabanlı paketleme tespiti</w:t>
            </w:r>
          </w:p>
        </w:tc>
        <w:tc>
          <w:tcPr>
            <w:tcW w:w="0" w:type="auto"/>
            <w:vAlign w:val="center"/>
            <w:hideMark/>
          </w:tcPr>
          <w:p w14:paraId="34282DE2" w14:textId="77777777" w:rsidR="008E11E5" w:rsidRPr="008E11E5" w:rsidRDefault="008E11E5" w:rsidP="008E11E5">
            <w:pPr>
              <w:spacing w:after="200" w:line="360" w:lineRule="auto"/>
            </w:pPr>
            <w:r w:rsidRPr="008E11E5">
              <w:t>Tamamlayıcı, genişletme fırsatı</w:t>
            </w:r>
          </w:p>
        </w:tc>
        <w:tc>
          <w:tcPr>
            <w:tcW w:w="0" w:type="auto"/>
            <w:vAlign w:val="center"/>
            <w:hideMark/>
          </w:tcPr>
          <w:p w14:paraId="04750FF8" w14:textId="77777777" w:rsidR="008E11E5" w:rsidRPr="008E11E5" w:rsidRDefault="008E11E5" w:rsidP="008E11E5">
            <w:pPr>
              <w:spacing w:after="200" w:line="360" w:lineRule="auto"/>
            </w:pPr>
            <w:r w:rsidRPr="008E11E5">
              <w:t>Tam doğrulandı</w:t>
            </w:r>
          </w:p>
        </w:tc>
      </w:tr>
    </w:tbl>
    <w:p w14:paraId="2797421C" w14:textId="582AF48B" w:rsidR="002C2948" w:rsidRDefault="002C2948">
      <w:pPr>
        <w:spacing w:after="200" w:line="360" w:lineRule="auto"/>
      </w:pPr>
    </w:p>
    <w:p w14:paraId="70D00196" w14:textId="77777777" w:rsidR="002C2948" w:rsidRPr="004B23B8" w:rsidRDefault="00000000">
      <w:pPr>
        <w:pStyle w:val="Balk1"/>
        <w:spacing w:before="400" w:after="200"/>
        <w:rPr>
          <w:color w:val="0D0D0D" w:themeColor="text1" w:themeTint="F2"/>
        </w:rPr>
      </w:pPr>
      <w:r w:rsidRPr="004B23B8">
        <w:rPr>
          <w:b/>
          <w:bCs/>
          <w:color w:val="0D0D0D" w:themeColor="text1" w:themeTint="F2"/>
        </w:rPr>
        <w:t>3. Yöntem / Yaklaşım</w:t>
      </w:r>
    </w:p>
    <w:p w14:paraId="76D9DA64" w14:textId="77777777" w:rsidR="002C2948" w:rsidRPr="004B23B8" w:rsidRDefault="00000000">
      <w:pPr>
        <w:pStyle w:val="Balk2"/>
        <w:spacing w:before="300" w:after="150"/>
        <w:rPr>
          <w:color w:val="0D0D0D" w:themeColor="text1" w:themeTint="F2"/>
        </w:rPr>
      </w:pPr>
      <w:r w:rsidRPr="004B23B8">
        <w:rPr>
          <w:b/>
          <w:bCs/>
          <w:color w:val="0D0D0D" w:themeColor="text1" w:themeTint="F2"/>
          <w:sz w:val="28"/>
          <w:szCs w:val="28"/>
        </w:rPr>
        <w:t>3.1 Genel Mimari</w:t>
      </w:r>
    </w:p>
    <w:p w14:paraId="1E9C14C2" w14:textId="77777777" w:rsidR="002C2948" w:rsidRDefault="00000000">
      <w:pPr>
        <w:spacing w:after="200" w:line="360" w:lineRule="auto"/>
        <w:jc w:val="both"/>
      </w:pPr>
      <w:r>
        <w:rPr>
          <w:sz w:val="24"/>
          <w:szCs w:val="24"/>
        </w:rPr>
        <w:t>Önerilen sistem, girdi olarak iki firmware imajı alır: bir referans (orijinal) imaj ve bir şüpheli (potansiyel olarak tahrif edilmiş) imaj. Sistem, gerçek açık kaynak firmware imajları (OpenWrt) üzerinde statik analiz yapacak şekilde tasarlanmıştır; dosya sistemi çıkarımı için PySquashfsImage kütüphanesi kullanılmaktadır (binwalk'ın Windows ortamında güvenilir çalışmaması nedeniyle bu araç tercih edilmiştir). Her iki imaj, birbirinden bağımsız beş analiz katmanından geçirilir; bu katmanların ürettiği bulgular altıncı bir katmanda (skorlama ve zaman çizelgesi) birleştirilerek tek bir şüphe skoruna ve kronolojik bir olay listesine dönüştürülür. Sistem Python dilinde geliştirilmiş olup, arayüz katmanı Streamlit üzerine inşa edilmiştir.</w:t>
      </w:r>
    </w:p>
    <w:p w14:paraId="64D515A4" w14:textId="77777777" w:rsidR="002C2948" w:rsidRPr="004B23B8" w:rsidRDefault="00000000">
      <w:pPr>
        <w:pStyle w:val="Balk2"/>
        <w:spacing w:before="300" w:after="150"/>
        <w:rPr>
          <w:color w:val="0D0D0D" w:themeColor="text1" w:themeTint="F2"/>
        </w:rPr>
      </w:pPr>
      <w:r w:rsidRPr="004B23B8">
        <w:rPr>
          <w:b/>
          <w:bCs/>
          <w:color w:val="0D0D0D" w:themeColor="text1" w:themeTint="F2"/>
          <w:sz w:val="28"/>
          <w:szCs w:val="28"/>
        </w:rPr>
        <w:t>3.2 Analiz Katmanları</w:t>
      </w:r>
    </w:p>
    <w:p w14:paraId="5DAC1323" w14:textId="77777777" w:rsidR="002C2948" w:rsidRDefault="00000000">
      <w:pPr>
        <w:spacing w:after="200" w:line="360" w:lineRule="auto"/>
        <w:jc w:val="both"/>
      </w:pPr>
      <w:r>
        <w:rPr>
          <w:sz w:val="24"/>
          <w:szCs w:val="24"/>
        </w:rPr>
        <w:t>Statik Bütünlük katmanı, iki imaj arasındaki dosya ve blok seviyesindeki farkları SHA-256 hash karşılaştırmasıyla tespit eder; eklenen, silinen ve içeriği değiştirilen dosyaları ayrı ayrı raporlar. Entropi Analizi katmanı, firmware bölümlerinin (section) entropi değerlerini hesaplayarak yüksek entropili bölgeleri (paketlenmiş veya şifrelenmiş, dolayısıyla gizlenmiş kötü amaçlı kod barındırma ihtimali yüksek alanlar) işaretler. İmza/Pattern Tarama katmanı, YARA kuralları (yara-python kütüphanesi ile) kullanarak bilinen arka kapı (backdoor) ve zararlı kod imzalarını tarar. İzin/Yetki Analizi katmanı, SUID/SGID bitleri ve yürütme izinlerindeki şüpheli değişiklikleri, ayrıcalık yükseltme (privilege escalation) potansiyeli taşıyan bir tehdit sınıfı olarak tespit eder.</w:t>
      </w:r>
    </w:p>
    <w:p w14:paraId="2D670866" w14:textId="77777777" w:rsidR="002C2948" w:rsidRDefault="00000000">
      <w:pPr>
        <w:spacing w:after="200" w:line="360" w:lineRule="auto"/>
        <w:jc w:val="both"/>
      </w:pPr>
      <w:r>
        <w:rPr>
          <w:sz w:val="24"/>
          <w:szCs w:val="24"/>
        </w:rPr>
        <w:lastRenderedPageBreak/>
        <w:t>Bu dört bağımsız katmandan gelen bulgular, Skorlama ve Zaman Çizelgesi katmanında birleştirilir. Bu katman iki işlev görür: (i) her bulguya, türüne göre ağırlıklandırılmış bir puan atayarak 0-100 aralığında tek bir şüphe skoru üretmek (örneğin silinmiş bir dosya bulgusuna +20 gibi sabit bir ağırlık atanmaktadır), ve (ii) her bulguyu sıra numarası, zaman damgası ve kendi SHA-256 hash'i ile birlikte kronolojik bir olay kaydına (event record) dönüştürerek bir zaman çizelgesi oluşturmak. İkinci işlev, delil zinciri (chain of custody) ilkesini teknik olarak karşılamaktadır: sistem, üretilen zaman çizelgesi kayıtlarının her birinin hash'ini yeniden hesaplayıp saklanan hash ile karşılaştırarak, raporun kendisinin sonradan değiştirilip değiştirilmediğini doğrulayabilmektedir. Burada vurgulanması gereken önemli bir ayrım, bu bütünlük doğrulamasının firmware'in kendisinin güvenli olduğu anlamına gelmediği, yalnızca üretilen adli bulgu kayıtlarının tahrif edilmediğini garanti ettiğidir.</w:t>
      </w:r>
    </w:p>
    <w:p w14:paraId="64B9ECFF" w14:textId="77777777" w:rsidR="002C2948" w:rsidRPr="004B23B8" w:rsidRDefault="00000000">
      <w:pPr>
        <w:pStyle w:val="Balk2"/>
        <w:spacing w:before="300" w:after="150"/>
        <w:rPr>
          <w:color w:val="0D0D0D" w:themeColor="text1" w:themeTint="F2"/>
        </w:rPr>
      </w:pPr>
      <w:r w:rsidRPr="004B23B8">
        <w:rPr>
          <w:b/>
          <w:bCs/>
          <w:color w:val="0D0D0D" w:themeColor="text1" w:themeTint="F2"/>
          <w:sz w:val="28"/>
          <w:szCs w:val="28"/>
        </w:rPr>
        <w:t>3.3 Arayüz ve Raporlama</w:t>
      </w:r>
    </w:p>
    <w:p w14:paraId="4BC5D877" w14:textId="77777777" w:rsidR="002C2948" w:rsidRDefault="00000000">
      <w:pPr>
        <w:spacing w:after="200" w:line="360" w:lineRule="auto"/>
        <w:jc w:val="both"/>
      </w:pPr>
      <w:r>
        <w:rPr>
          <w:sz w:val="24"/>
          <w:szCs w:val="24"/>
        </w:rPr>
        <w:t xml:space="preserve">Sistemin Streamlit tabanlı arayüzü sekiz fonksiyonel gereksinimi karşılayacak şekilde tasarlanmıştır: kullanıcının iki firmware imajını yüklemesi, hash farklarının tablo halinde listelenmesi, entropi bulgularının şüpheli bölgeler olarak gösterilmesi, YARA tarama sonuçlarının risk derecesiyle sunulması, izin değişikliklerinin ayrı bir sekmede raporlanması, bulguların kronolojik zaman çizelgesi ve 0-100 şüphe skoru olarak gösterilmesi, tüm bulguların delil zinciriyle birlikte HTML rapor olarak indirilebilmesi, ve her analiz katmanının sonuçlarının ayrı sekmelerde incelenebilmesidir. Arayüzün her sekmesinde, ilgili katmanın ne yaptığını ve neden önemli olduğunu açıklayan kısa bilgi kutuları bulunmaktadır; bu, aracı kullanan bir analistin teknik detaya </w:t>
      </w:r>
      <w:proofErr w:type="gramStart"/>
      <w:r>
        <w:rPr>
          <w:sz w:val="24"/>
          <w:szCs w:val="24"/>
        </w:rPr>
        <w:t>hakim</w:t>
      </w:r>
      <w:proofErr w:type="gramEnd"/>
      <w:r>
        <w:rPr>
          <w:sz w:val="24"/>
          <w:szCs w:val="24"/>
        </w:rPr>
        <w:t xml:space="preserve"> olmadan da her katmanın işlevini anlayabilmesini amaçlamaktadır.</w:t>
      </w:r>
    </w:p>
    <w:p w14:paraId="000E214E" w14:textId="77777777" w:rsidR="002C2948" w:rsidRPr="004B23B8" w:rsidRDefault="00000000">
      <w:pPr>
        <w:pStyle w:val="Balk2"/>
        <w:spacing w:before="300" w:after="150"/>
        <w:rPr>
          <w:color w:val="0D0D0D" w:themeColor="text1" w:themeTint="F2"/>
        </w:rPr>
      </w:pPr>
      <w:r w:rsidRPr="004B23B8">
        <w:rPr>
          <w:b/>
          <w:bCs/>
          <w:color w:val="0D0D0D" w:themeColor="text1" w:themeTint="F2"/>
          <w:sz w:val="28"/>
          <w:szCs w:val="28"/>
        </w:rPr>
        <w:t>3.4 Değerlendirme Metodolojisi</w:t>
      </w:r>
    </w:p>
    <w:p w14:paraId="3920592B" w14:textId="77777777" w:rsidR="002C2948" w:rsidRDefault="00000000">
      <w:pPr>
        <w:spacing w:after="200" w:line="360" w:lineRule="auto"/>
        <w:jc w:val="both"/>
      </w:pPr>
      <w:r>
        <w:rPr>
          <w:sz w:val="24"/>
          <w:szCs w:val="24"/>
        </w:rPr>
        <w:t xml:space="preserve">Önerilen yaklaşımın gerçek dünya geçerliliğini sınamak amacıyla, yöntem iki gerçek ve güncel CVE kaydı ile doğrulanmıştır. CVE-2024-54143 (OpenWrt Attended Sysupgrade paketinde kısaltılmış hash kullanımından kaynaklanan bir zafiyet), sistemin Statik Bütünlük katmanının tam (kısaltılmamış) hash karşılaştırması kullanmasının önemini göstermek amacıyla ilişkilendirilmiştir. CVE-2024-9643 (Four-Faith router cihazlarında sabit kodlanmış kimlik bilgileri, hardcoded credentials), İmza/Pattern Tarama katmanının bu tür bilinen zafiyet imzalarını YARA kurallarıyla tespit edebildiğini göstermek amacıyla kullanılmıştır. Bu iki değerlendirme, sistemin yalnızca sentetik/yapay test senaryolarında değil, literatürde belgelenmiş gerçek güvenlik olaylarıyla ilişkilendirilebilir bulgular ürettiğini ortaya </w:t>
      </w:r>
      <w:r>
        <w:rPr>
          <w:sz w:val="24"/>
          <w:szCs w:val="24"/>
        </w:rPr>
        <w:lastRenderedPageBreak/>
        <w:t>koymaktadır. Ayrıca sistem, iki farklı gerçek OpenWrt sürümü (eski bir sürüm ile güncel bir sürüm) karşılaştırılarak yoğun/gerçekçi bir fark senaryosunda (binlerce dosya seviyesinde farklılık) uçtan uca test edilmiş, tüm katmanların ve raporlama mekanizmasının bu ölçekte hatasız çalıştığı doğrulanmıştır.</w:t>
      </w:r>
    </w:p>
    <w:p w14:paraId="2909AA6E" w14:textId="77777777" w:rsidR="002C2948" w:rsidRPr="004B23B8" w:rsidRDefault="00000000">
      <w:pPr>
        <w:pStyle w:val="Balk1"/>
        <w:spacing w:before="400" w:after="200"/>
        <w:rPr>
          <w:color w:val="0D0D0D" w:themeColor="text1" w:themeTint="F2"/>
        </w:rPr>
      </w:pPr>
      <w:r w:rsidRPr="004B23B8">
        <w:rPr>
          <w:b/>
          <w:bCs/>
          <w:color w:val="0D0D0D" w:themeColor="text1" w:themeTint="F2"/>
        </w:rPr>
        <w:t>4. Deneysel Değerlendirme: Literatür Reproduction</w:t>
      </w:r>
    </w:p>
    <w:p w14:paraId="72DBFCF9" w14:textId="77777777" w:rsidR="002C2948" w:rsidRDefault="00000000">
      <w:pPr>
        <w:spacing w:after="200" w:line="360" w:lineRule="auto"/>
      </w:pPr>
      <w:r>
        <w:rPr>
          <w:i/>
          <w:iCs/>
          <w:color w:val="808080"/>
          <w:sz w:val="22"/>
          <w:szCs w:val="22"/>
        </w:rPr>
        <w:t>[TBD — metodoloji (Colab tabanlı reproduction süreci), her aracın kurulum/çalıştırma süreci özeti, Tablo (durum dağılımı), Grafik 1-2, ilginç bulgular (AutoFirm regex sınırlaması, ChkUp'taki bug tespiti, FirmRCA süre analizi)]</w:t>
      </w:r>
    </w:p>
    <w:p w14:paraId="7C84D371" w14:textId="77777777" w:rsidR="002C2948" w:rsidRPr="004B23B8" w:rsidRDefault="00000000">
      <w:pPr>
        <w:pStyle w:val="Balk1"/>
        <w:spacing w:before="400" w:after="200"/>
        <w:rPr>
          <w:color w:val="0D0D0D" w:themeColor="text1" w:themeTint="F2"/>
        </w:rPr>
      </w:pPr>
      <w:r w:rsidRPr="004B23B8">
        <w:rPr>
          <w:b/>
          <w:bCs/>
          <w:color w:val="0D0D0D" w:themeColor="text1" w:themeTint="F2"/>
        </w:rPr>
        <w:t>5. Tartışma</w:t>
      </w:r>
    </w:p>
    <w:p w14:paraId="0EB080FA" w14:textId="77777777" w:rsidR="002C2948" w:rsidRDefault="00000000">
      <w:pPr>
        <w:spacing w:after="200" w:line="360" w:lineRule="auto"/>
      </w:pPr>
      <w:r>
        <w:rPr>
          <w:i/>
          <w:iCs/>
          <w:color w:val="808080"/>
          <w:sz w:val="22"/>
          <w:szCs w:val="22"/>
        </w:rPr>
        <w:t>[TBD — yaklaşımın güçlü/zayıf yönleri, sınırlamalar, ChkUp/UniBOM/Pack-ALM'den esinlenen genişletme önerileri]</w:t>
      </w:r>
    </w:p>
    <w:p w14:paraId="2450B217" w14:textId="77777777" w:rsidR="002C2948" w:rsidRPr="004B23B8" w:rsidRDefault="00000000">
      <w:pPr>
        <w:pStyle w:val="Balk1"/>
        <w:spacing w:before="400" w:after="200"/>
        <w:rPr>
          <w:color w:val="0D0D0D" w:themeColor="text1" w:themeTint="F2"/>
        </w:rPr>
      </w:pPr>
      <w:r w:rsidRPr="004B23B8">
        <w:rPr>
          <w:b/>
          <w:bCs/>
          <w:color w:val="0D0D0D" w:themeColor="text1" w:themeTint="F2"/>
        </w:rPr>
        <w:t>6. Sonuç ve Gelecek Çalışmalar</w:t>
      </w:r>
    </w:p>
    <w:p w14:paraId="46CCE9D5" w14:textId="77777777" w:rsidR="002C2948" w:rsidRDefault="00000000">
      <w:pPr>
        <w:spacing w:after="200" w:line="360" w:lineRule="auto"/>
      </w:pPr>
      <w:r>
        <w:rPr>
          <w:i/>
          <w:iCs/>
          <w:color w:val="808080"/>
          <w:sz w:val="22"/>
          <w:szCs w:val="22"/>
        </w:rPr>
        <w:t>[TBD — özet, katkıların yeniden vurgulanması, LFwC ile büyük ölçekli değerlendirme, SBOM/CVE katmanı, ML tabanlı paketleme sınıflandırması önerileri]</w:t>
      </w:r>
    </w:p>
    <w:p w14:paraId="3E33632D" w14:textId="77777777" w:rsidR="002C2948" w:rsidRPr="004B23B8" w:rsidRDefault="00000000">
      <w:pPr>
        <w:pStyle w:val="Balk1"/>
        <w:spacing w:before="400" w:after="200"/>
        <w:rPr>
          <w:color w:val="0D0D0D" w:themeColor="text1" w:themeTint="F2"/>
        </w:rPr>
      </w:pPr>
      <w:r w:rsidRPr="004B23B8">
        <w:rPr>
          <w:b/>
          <w:bCs/>
          <w:color w:val="0D0D0D" w:themeColor="text1" w:themeTint="F2"/>
        </w:rPr>
        <w:t>Kaynakça</w:t>
      </w:r>
    </w:p>
    <w:p w14:paraId="5470842C" w14:textId="77777777" w:rsidR="002C2948" w:rsidRDefault="00000000">
      <w:pPr>
        <w:spacing w:after="200" w:line="360" w:lineRule="auto"/>
      </w:pPr>
      <w:r>
        <w:rPr>
          <w:i/>
          <w:iCs/>
          <w:color w:val="808080"/>
          <w:sz w:val="22"/>
          <w:szCs w:val="22"/>
        </w:rPr>
        <w:t>[TBD — 10 makalenin tam referansları]</w:t>
      </w:r>
    </w:p>
    <w:sectPr w:rsidR="002C2948">
      <w:pgSz w:w="11906" w:h="16838"/>
      <w:pgMar w:top="1411" w:right="1411" w:bottom="1411" w:left="141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7F98"/>
    <w:multiLevelType w:val="hybridMultilevel"/>
    <w:tmpl w:val="7E1093EC"/>
    <w:lvl w:ilvl="0" w:tplc="6D2ED5EA">
      <w:start w:val="1"/>
      <w:numFmt w:val="bullet"/>
      <w:lvlText w:val="●"/>
      <w:lvlJc w:val="left"/>
      <w:pPr>
        <w:ind w:left="720" w:hanging="360"/>
      </w:pPr>
    </w:lvl>
    <w:lvl w:ilvl="1" w:tplc="0C160F84">
      <w:start w:val="1"/>
      <w:numFmt w:val="bullet"/>
      <w:lvlText w:val="○"/>
      <w:lvlJc w:val="left"/>
      <w:pPr>
        <w:ind w:left="1440" w:hanging="360"/>
      </w:pPr>
    </w:lvl>
    <w:lvl w:ilvl="2" w:tplc="AF7E22B2">
      <w:start w:val="1"/>
      <w:numFmt w:val="bullet"/>
      <w:lvlText w:val="■"/>
      <w:lvlJc w:val="left"/>
      <w:pPr>
        <w:ind w:left="2160" w:hanging="360"/>
      </w:pPr>
    </w:lvl>
    <w:lvl w:ilvl="3" w:tplc="5A8404B4">
      <w:start w:val="1"/>
      <w:numFmt w:val="bullet"/>
      <w:lvlText w:val="●"/>
      <w:lvlJc w:val="left"/>
      <w:pPr>
        <w:ind w:left="2880" w:hanging="360"/>
      </w:pPr>
    </w:lvl>
    <w:lvl w:ilvl="4" w:tplc="C958BF9C">
      <w:start w:val="1"/>
      <w:numFmt w:val="bullet"/>
      <w:lvlText w:val="○"/>
      <w:lvlJc w:val="left"/>
      <w:pPr>
        <w:ind w:left="3600" w:hanging="360"/>
      </w:pPr>
    </w:lvl>
    <w:lvl w:ilvl="5" w:tplc="6450B22E">
      <w:start w:val="1"/>
      <w:numFmt w:val="bullet"/>
      <w:lvlText w:val="■"/>
      <w:lvlJc w:val="left"/>
      <w:pPr>
        <w:ind w:left="4320" w:hanging="360"/>
      </w:pPr>
    </w:lvl>
    <w:lvl w:ilvl="6" w:tplc="FE1E50CE">
      <w:start w:val="1"/>
      <w:numFmt w:val="bullet"/>
      <w:lvlText w:val="●"/>
      <w:lvlJc w:val="left"/>
      <w:pPr>
        <w:ind w:left="5040" w:hanging="360"/>
      </w:pPr>
    </w:lvl>
    <w:lvl w:ilvl="7" w:tplc="5F0231F0">
      <w:start w:val="1"/>
      <w:numFmt w:val="bullet"/>
      <w:lvlText w:val="●"/>
      <w:lvlJc w:val="left"/>
      <w:pPr>
        <w:ind w:left="5760" w:hanging="360"/>
      </w:pPr>
    </w:lvl>
    <w:lvl w:ilvl="8" w:tplc="111A8278">
      <w:start w:val="1"/>
      <w:numFmt w:val="bullet"/>
      <w:lvlText w:val="●"/>
      <w:lvlJc w:val="left"/>
      <w:pPr>
        <w:ind w:left="6480" w:hanging="360"/>
      </w:pPr>
    </w:lvl>
  </w:abstractNum>
  <w:num w:numId="1" w16cid:durableId="7922123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2948"/>
    <w:rsid w:val="002C2948"/>
    <w:rsid w:val="004B23B8"/>
    <w:rsid w:val="005656F6"/>
    <w:rsid w:val="008E11E5"/>
    <w:rsid w:val="00D82BF2"/>
    <w:rsid w:val="00F3781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F9963"/>
  <w15:docId w15:val="{CCEA8843-14A3-47A3-9CF0-C74468BD0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outlineLvl w:val="0"/>
    </w:pPr>
    <w:rPr>
      <w:color w:val="2E74B5"/>
      <w:sz w:val="32"/>
      <w:szCs w:val="32"/>
    </w:rPr>
  </w:style>
  <w:style w:type="paragraph" w:styleId="Balk2">
    <w:name w:val="heading 2"/>
    <w:uiPriority w:val="9"/>
    <w:unhideWhenUsed/>
    <w:qFormat/>
    <w:pPr>
      <w:outlineLvl w:val="1"/>
    </w:pPr>
    <w:rPr>
      <w:color w:val="2E74B5"/>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style>
  <w:style w:type="character" w:customStyle="1" w:styleId="SonNotMetniChar">
    <w:name w:val="Son Not Metni Char"/>
    <w:link w:val="SonNotMetni"/>
    <w:uiPriority w:val="99"/>
    <w:semiHidden/>
    <w:unhideWhenUsed/>
    <w:rPr>
      <w:sz w:val="20"/>
      <w:szCs w:val="20"/>
    </w:rPr>
  </w:style>
  <w:style w:type="table" w:styleId="TabloKlavuzu">
    <w:name w:val="Table Grid"/>
    <w:basedOn w:val="NormalTablo"/>
    <w:uiPriority w:val="39"/>
    <w:rsid w:val="008E11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2212</Words>
  <Characters>12612</Characters>
  <Application>Microsoft Office Word</Application>
  <DocSecurity>0</DocSecurity>
  <Lines>105</Lines>
  <Paragraphs>29</Paragraphs>
  <ScaleCrop>false</ScaleCrop>
  <Company/>
  <LinksUpToDate>false</LinksUpToDate>
  <CharactersWithSpaces>14795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Zeynep Kaçar</cp:lastModifiedBy>
  <cp:revision>3</cp:revision>
  <dcterms:created xsi:type="dcterms:W3CDTF">2026-08-07T16:11:00Z</dcterms:created>
  <dcterms:modified xsi:type="dcterms:W3CDTF">2026-08-07T16:18:00Z</dcterms:modified>
</cp:coreProperties>
</file>