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B65" w:rsidRDefault="009133F0">
      <w:pPr>
        <w:pStyle w:val="Balk1"/>
      </w:pPr>
      <w:r>
        <w:t>CRC Biomarker Literature Validation &amp; Biological Relevance Report</w:t>
      </w:r>
    </w:p>
    <w:p w:rsidR="009E2B65" w:rsidRDefault="009133F0">
      <w:r>
        <w:rPr>
          <w:b/>
        </w:rPr>
        <w:t xml:space="preserve">Project: </w:t>
      </w:r>
      <w:r>
        <w:t>Colorectal Cancer (CRC) Multi-Omics Data Integration Pipeline</w:t>
      </w:r>
      <w:r>
        <w:br/>
      </w:r>
      <w:r>
        <w:rPr>
          <w:b/>
        </w:rPr>
        <w:t xml:space="preserve">Scope: </w:t>
      </w:r>
      <w:r>
        <w:t xml:space="preserve">Literature Triage (PubMed / MetaCyc / UniProt) and Biological Validation of Key Biomarker Species Identified </w:t>
      </w:r>
      <w:r>
        <w:t>via Statistical Analysis (p &lt; 0.05) and Multilayer Network Centrality Metrics</w:t>
      </w:r>
    </w:p>
    <w:p w:rsidR="009E2B65" w:rsidRDefault="009133F0">
      <w:pPr>
        <w:pStyle w:val="Balk2"/>
      </w:pPr>
      <w:r>
        <w:t>1. Introduction &amp; Purpose</w:t>
      </w:r>
    </w:p>
    <w:p w:rsidR="009E2B65" w:rsidRDefault="009133F0">
      <w:r>
        <w:t>This report validates the biological relevance of microbial biomarkers (Species–Enzyme–Pathway) identified through non-parametric statistical tests (Man</w:t>
      </w:r>
      <w:r>
        <w:t>n-Whitney U) and 3-layer network analysis on a clinical cohort (N = 1,262).</w:t>
      </w:r>
      <w:r>
        <w:br/>
      </w:r>
      <w:r>
        <w:br/>
        <w:t>The objective is to confirm the mechanistic roles of top-ranked bacterial species in Colorectal Cancer (CRC) carcinogenesis, their enzymatic profiles, and their associated metabol</w:t>
      </w:r>
      <w:r>
        <w:t>ic pathways using established literature.</w:t>
      </w:r>
    </w:p>
    <w:p w:rsidR="009133F0" w:rsidRDefault="009133F0"/>
    <w:p w:rsidR="009E2B65" w:rsidRDefault="009133F0">
      <w:pPr>
        <w:pStyle w:val="Balk2"/>
      </w:pPr>
      <w:r>
        <w:t>2. Biomarker Literature Validation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2B65">
        <w:tc>
          <w:tcPr>
            <w:tcW w:w="2160" w:type="dxa"/>
          </w:tcPr>
          <w:p w:rsidR="009E2B65" w:rsidRDefault="009133F0">
            <w:r>
              <w:t>Biomarker Species</w:t>
            </w:r>
          </w:p>
        </w:tc>
        <w:tc>
          <w:tcPr>
            <w:tcW w:w="2160" w:type="dxa"/>
          </w:tcPr>
          <w:p w:rsidR="009E2B65" w:rsidRDefault="009133F0">
            <w:r>
              <w:t>Literature Status</w:t>
            </w:r>
          </w:p>
        </w:tc>
        <w:tc>
          <w:tcPr>
            <w:tcW w:w="2160" w:type="dxa"/>
          </w:tcPr>
          <w:p w:rsidR="009E2B65" w:rsidRDefault="009133F0">
            <w:r>
              <w:t>Biological Mechanism / Signaling Pathway</w:t>
            </w:r>
          </w:p>
        </w:tc>
        <w:tc>
          <w:tcPr>
            <w:tcW w:w="2160" w:type="dxa"/>
          </w:tcPr>
          <w:p w:rsidR="009E2B65" w:rsidRDefault="009133F0">
            <w:r>
              <w:t>PubMed / Literature Evidence</w:t>
            </w:r>
          </w:p>
        </w:tc>
      </w:tr>
      <w:tr w:rsidR="009E2B65">
        <w:tc>
          <w:tcPr>
            <w:tcW w:w="2160" w:type="dxa"/>
          </w:tcPr>
          <w:p w:rsidR="009E2B65" w:rsidRDefault="009133F0">
            <w:r>
              <w:t>Fusobacterium nucleatum</w:t>
            </w:r>
          </w:p>
        </w:tc>
        <w:tc>
          <w:tcPr>
            <w:tcW w:w="2160" w:type="dxa"/>
          </w:tcPr>
          <w:p w:rsidR="009E2B65" w:rsidRDefault="009133F0">
            <w:r>
              <w:t>Gold Standard</w:t>
            </w:r>
          </w:p>
        </w:tc>
        <w:tc>
          <w:tcPr>
            <w:tcW w:w="2160" w:type="dxa"/>
          </w:tcPr>
          <w:p w:rsidR="009E2B65" w:rsidRDefault="009133F0">
            <w:r>
              <w:t>Activates E-cadherin/Wnt/β-catenin</w:t>
            </w:r>
            <w:r>
              <w:t xml:space="preserve"> signaling via FadA adhesin; promotes tumor growth and chemoresistance.</w:t>
            </w:r>
          </w:p>
        </w:tc>
        <w:tc>
          <w:tcPr>
            <w:tcW w:w="2160" w:type="dxa"/>
          </w:tcPr>
          <w:p w:rsidR="009E2B65" w:rsidRDefault="009133F0">
            <w:r>
              <w:t>Extensive literature validating its role as a key oncogenic driver in CRC.</w:t>
            </w:r>
          </w:p>
        </w:tc>
      </w:tr>
      <w:tr w:rsidR="009E2B65">
        <w:tc>
          <w:tcPr>
            <w:tcW w:w="2160" w:type="dxa"/>
          </w:tcPr>
          <w:p w:rsidR="009E2B65" w:rsidRDefault="009133F0">
            <w:r>
              <w:t>Parvimonas micra</w:t>
            </w:r>
          </w:p>
        </w:tc>
        <w:tc>
          <w:tcPr>
            <w:tcW w:w="2160" w:type="dxa"/>
          </w:tcPr>
          <w:p w:rsidR="009E2B65" w:rsidRDefault="009133F0">
            <w:r>
              <w:t>Clinically Validated</w:t>
            </w:r>
          </w:p>
        </w:tc>
        <w:tc>
          <w:tcPr>
            <w:tcW w:w="2160" w:type="dxa"/>
          </w:tcPr>
          <w:p w:rsidR="009E2B65" w:rsidRDefault="009133F0">
            <w:r>
              <w:t>Triggers pro-inflammatory cytokine production (IL-6, TNF-α); induces m</w:t>
            </w:r>
            <w:r>
              <w:t>ucosal inflammation.</w:t>
            </w:r>
          </w:p>
        </w:tc>
        <w:tc>
          <w:tcPr>
            <w:tcW w:w="2160" w:type="dxa"/>
          </w:tcPr>
          <w:p w:rsidR="009E2B65" w:rsidRDefault="009133F0">
            <w:r>
              <w:t>Consistently enriched in tumor tissue and fecal samples of CRC patients.</w:t>
            </w:r>
          </w:p>
        </w:tc>
      </w:tr>
      <w:tr w:rsidR="009E2B65">
        <w:tc>
          <w:tcPr>
            <w:tcW w:w="2160" w:type="dxa"/>
          </w:tcPr>
          <w:p w:rsidR="009E2B65" w:rsidRDefault="009133F0">
            <w:r>
              <w:t>Peptostreptococcus stomatis</w:t>
            </w:r>
          </w:p>
        </w:tc>
        <w:tc>
          <w:tcPr>
            <w:tcW w:w="2160" w:type="dxa"/>
          </w:tcPr>
          <w:p w:rsidR="009E2B65" w:rsidRDefault="009133F0">
            <w:r>
              <w:t>Diagnostic Marker</w:t>
            </w:r>
          </w:p>
        </w:tc>
        <w:tc>
          <w:tcPr>
            <w:tcW w:w="2160" w:type="dxa"/>
          </w:tcPr>
          <w:p w:rsidR="009E2B65" w:rsidRDefault="009133F0">
            <w:r>
              <w:t>Adheres to tumor microenvironments; secretes metabolites promoting epithelial proliferation.</w:t>
            </w:r>
          </w:p>
        </w:tc>
        <w:tc>
          <w:tcPr>
            <w:tcW w:w="2160" w:type="dxa"/>
          </w:tcPr>
          <w:p w:rsidR="009E2B65" w:rsidRDefault="009133F0">
            <w:r>
              <w:t>Key component in non-i</w:t>
            </w:r>
            <w:r>
              <w:t>nvasive diagnostic biomarker panels (AUC &gt; 0.80).</w:t>
            </w:r>
          </w:p>
        </w:tc>
      </w:tr>
      <w:tr w:rsidR="009E2B65">
        <w:tc>
          <w:tcPr>
            <w:tcW w:w="2160" w:type="dxa"/>
          </w:tcPr>
          <w:p w:rsidR="009E2B65" w:rsidRDefault="009133F0">
            <w:r>
              <w:t>Porphyromonas asaccharolytica</w:t>
            </w:r>
          </w:p>
        </w:tc>
        <w:tc>
          <w:tcPr>
            <w:tcW w:w="2160" w:type="dxa"/>
          </w:tcPr>
          <w:p w:rsidR="009E2B65" w:rsidRDefault="009133F0">
            <w:r>
              <w:t>Enriched in Late Stage</w:t>
            </w:r>
          </w:p>
        </w:tc>
        <w:tc>
          <w:tcPr>
            <w:tcW w:w="2160" w:type="dxa"/>
          </w:tcPr>
          <w:p w:rsidR="009E2B65" w:rsidRDefault="009133F0">
            <w:r>
              <w:t>Impairs gut epithelial barrier integrity via proteolytic activity and toxic sulfur metabolites.</w:t>
            </w:r>
          </w:p>
        </w:tc>
        <w:tc>
          <w:tcPr>
            <w:tcW w:w="2160" w:type="dxa"/>
          </w:tcPr>
          <w:p w:rsidR="009E2B65" w:rsidRDefault="009133F0">
            <w:r>
              <w:t xml:space="preserve">Strongly enriched in advanced-stage (Stage III–IV) CRC </w:t>
            </w:r>
            <w:r>
              <w:t>cohorts.</w:t>
            </w:r>
          </w:p>
        </w:tc>
      </w:tr>
      <w:tr w:rsidR="009E2B65">
        <w:tc>
          <w:tcPr>
            <w:tcW w:w="2160" w:type="dxa"/>
          </w:tcPr>
          <w:p w:rsidR="009E2B65" w:rsidRDefault="009133F0">
            <w:r>
              <w:lastRenderedPageBreak/>
              <w:t>Bacteroides fragilis (ETBF)</w:t>
            </w:r>
          </w:p>
        </w:tc>
        <w:tc>
          <w:tcPr>
            <w:tcW w:w="2160" w:type="dxa"/>
          </w:tcPr>
          <w:p w:rsidR="009E2B65" w:rsidRDefault="009133F0">
            <w:r>
              <w:t>Oncogenic Driver</w:t>
            </w:r>
          </w:p>
        </w:tc>
        <w:tc>
          <w:tcPr>
            <w:tcW w:w="2160" w:type="dxa"/>
          </w:tcPr>
          <w:p w:rsidR="009E2B65" w:rsidRDefault="009133F0">
            <w:r>
              <w:t>Produces BFT causing E-cadherin cleavage and STAT3/NF-κB activation.</w:t>
            </w:r>
          </w:p>
        </w:tc>
        <w:tc>
          <w:tcPr>
            <w:tcW w:w="2160" w:type="dxa"/>
          </w:tcPr>
          <w:p w:rsidR="009E2B65" w:rsidRDefault="009133F0">
            <w:r>
              <w:t>Recognized as an initiator of inflammatory colorectal carcinogenesis.</w:t>
            </w:r>
          </w:p>
        </w:tc>
      </w:tr>
    </w:tbl>
    <w:p w:rsidR="009E2B65" w:rsidRDefault="009133F0">
      <w:pPr>
        <w:pStyle w:val="Balk2"/>
      </w:pPr>
      <w:r>
        <w:t>3. Cross-Layer Biological Logic (Species → Enzyme → Pathway)</w:t>
      </w:r>
    </w:p>
    <w:p w:rsidR="009E2B65" w:rsidRDefault="009133F0">
      <w:pPr>
        <w:pStyle w:val="ListeNumaras"/>
      </w:pPr>
      <w:r>
        <w:t>Species Layer: Pathogenic bacteria (F. nucleatum, P. micra, etc.) colonize the mucosal tumor tissue.</w:t>
      </w:r>
    </w:p>
    <w:p w:rsidR="009E2B65" w:rsidRDefault="009133F0">
      <w:pPr>
        <w:pStyle w:val="ListeNumaras"/>
      </w:pPr>
      <w:r>
        <w:t>Enzyme Layer (UniProt species_to_ec.txt): These species secrete specific functional enzymes (EC classes) including proteases, peptidases, and reductases.</w:t>
      </w:r>
    </w:p>
    <w:p w:rsidR="009E2B65" w:rsidRDefault="009133F0">
      <w:pPr>
        <w:pStyle w:val="ListeNumaras"/>
      </w:pPr>
      <w:r>
        <w:t>P</w:t>
      </w:r>
      <w:r>
        <w:t>athway Layer (MetaCyc reactions_level4ec): These enzymes alter metabolic pathways—such as suppressing butyrate production, accelerating polyamine synthesis, and increasing hydrogen sulfide (H₂S) production—leading to mucosal damage and tumorigenesis.</w:t>
      </w:r>
    </w:p>
    <w:p w:rsidR="009E2B65" w:rsidRDefault="009133F0">
      <w:pPr>
        <w:pStyle w:val="Balk2"/>
      </w:pPr>
      <w:r>
        <w:t>4. Co</w:t>
      </w:r>
      <w:r>
        <w:t>nclusion &amp; Clinical Significance</w:t>
      </w:r>
    </w:p>
    <w:p w:rsidR="009E2B65" w:rsidRDefault="009133F0">
      <w:r>
        <w:t>• All top 5 biomarker species identified by our statistical pipeline (p &lt; 0.05) and Random Forest classifier (ROC-AUC ≈ 0.85) are fully supported by literature as direct CRC drivers or biomarkers.</w:t>
      </w:r>
      <w:r>
        <w:br/>
        <w:t>• This cross-validation co</w:t>
      </w:r>
      <w:r>
        <w:t>nfirms that the computational pipeline yields results that are both mathematically sound and biologically valid.</w:t>
      </w:r>
      <w:bookmarkStart w:id="0" w:name="_GoBack"/>
      <w:bookmarkEnd w:id="0"/>
    </w:p>
    <w:sectPr w:rsidR="009E2B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33F0"/>
    <w:rsid w:val="009E2B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85EEF"/>
  <w14:defaultImageDpi w14:val="300"/>
  <w15:docId w15:val="{D465261F-27AF-46E6-ABCC-CA7FE684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EC2278-F57A-45E1-AB3F-A56CBB21C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2026-07-28T08:58:00Z</dcterms:modified>
  <cp:category/>
</cp:coreProperties>
</file>