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LabSim V0 demo04 原座装载核查报告</w:t>
      </w:r>
    </w:p>
    <w:p>
      <w:r>
        <w:t>2026-10-20｜</w:t>
      </w:r>
      <w:r>
        <w:t>V0_demo04/native_nominal</w:t>
      </w:r>
      <w:r>
        <w:t>｜完整任务状态：</w:t>
      </w:r>
      <w:r>
        <w:rPr>
          <w:b/>
        </w:rPr>
        <w:t>BLOCKED</w:t>
      </w:r>
      <w:r>
        <w:t>｜真实校准：</w:t>
      </w:r>
      <w:r>
        <w:rPr>
          <w:b/>
        </w:rPr>
        <w:t>false</w:t>
      </w:r>
      <w:r/>
    </w:p>
    <w:p>
      <w:r/>
      <w:r>
        <w:rPr>
          <w:b/>
        </w:rPr>
        <w:t>本轮没有完整原座装载成功。</w:t>
      </w:r>
      <w:r>
        <w:t xml:space="preserve"> 器皿名义尺寸已按用户更正为 </w:t>
      </w:r>
      <w:r>
        <w:rPr>
          <w:b/>
        </w:rPr>
        <w:t>12.5 × 12.5 × 67.5 mm</w:t>
      </w:r>
      <w:r>
        <w:t xml:space="preserve">，仅统一缩放 XY，Z、高度及底部基准保持。单仪器和最终朝向的静态检查通过，但原 A/B 座仍与杯壁材料相交，已观察点深度约 </w:t>
      </w:r>
      <w:r>
        <w:rPr>
          <w:b/>
        </w:rPr>
        <w:t>0.581 / 0.579 mm</w:t>
      </w:r>
      <w:r>
        <w:t>。原座没有扩孔、删件或以碰撞参数改变配合。三次真实受限诊断中，前两次止于搬运滑移/持物偏差，第三次完成座口上方停止、上抬与保持；均没有插入、支撑转移、松爪或完整撤离。固定 5 次、随机 10 次完整任务均未执行，不能填写成功率。</w:t>
      </w:r>
    </w:p>
    <w:p>
      <w:pPr>
        <w:pStyle w:val="Heading1"/>
      </w:pPr>
      <w:r>
        <w:t>任务与器皿派生</w:t>
      </w:r>
    </w:p>
    <w:p>
      <w:r>
        <w:t xml:space="preserve">本轮保持单台原仪器、完整白色 6 × 6 源架、淡色源杯及蓝色邻杯。源槽工程 ID 为 A1，蓝色邻杯为 F6；目标沿用用户选择的仪器内部原 A 座，即远铰链座 </w:t>
      </w:r>
      <w:r>
        <w:t>candidate_far_hinge</w:t>
      </w:r>
      <w:r>
        <w:t>。A/B 任务角色已确认，厂家命名、真实公差与相机外参仍未确认。</w:t>
      </w:r>
    </w:p>
    <w:p>
      <w:r>
        <w:t>尺寸来自实际顶点及完整局部变换；机身按明确源 prim 路径识别。下表小数用于追溯浮点网格，不代表真实制造或控制精度；完整坐标系、来源及 prim 见</w:t>
      </w:r>
      <w:hyperlink r:id="rId10">
        <w:r>
          <w:rPr>
            <w:color w:val="185A82"/>
          </w:rPr>
          <w:t>跨源文件、派生与世界坐标尺寸表</w:t>
        </w:r>
      </w:hyperlink>
      <w:r>
        <w:t>。</w:t>
      </w:r>
    </w:p>
    <w:tbl>
      <w:tblPr>
        <w:tblW w:type="auto" w:w="0"/>
        <w:tblLayout w:type="fixed"/>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213"/>
        <w:gridCol w:w="3213"/>
        <w:gridCol w:w="3213"/>
      </w:tblGrid>
      <w:tr>
        <w:trPr>
          <w:cantSplit/>
          <w:tblHeader/>
        </w:trPr>
        <w:tc>
          <w:tcPr>
            <w:tcW w:type="dxa" w:w="2313"/>
            <w:shd w:fill="EFEFEF"/>
          </w:tcPr>
          <w:p>
            <w:pPr>
              <w:spacing w:after="80" w:before="60" w:line="252" w:lineRule="auto"/>
            </w:pPr>
            <w:r>
              <w:rPr>
                <w:b/>
                <w:sz w:val="18"/>
              </w:rPr>
              <w:t>项目</w:t>
            </w:r>
          </w:p>
        </w:tc>
        <w:tc>
          <w:tcPr>
            <w:tcW w:type="dxa" w:w="3180"/>
            <w:shd w:fill="EFEFEF"/>
          </w:tcPr>
          <w:p>
            <w:pPr>
              <w:spacing w:after="80" w:before="60" w:line="252" w:lineRule="auto"/>
            </w:pPr>
            <w:r>
              <w:rPr>
                <w:b/>
                <w:sz w:val="18"/>
              </w:rPr>
              <w:t>名义尺寸 / 声明</w:t>
            </w:r>
          </w:p>
        </w:tc>
        <w:tc>
          <w:tcPr>
            <w:tcW w:type="dxa" w:w="4144"/>
            <w:shd w:fill="EFEFEF"/>
          </w:tcPr>
          <w:p>
            <w:pPr>
              <w:spacing w:after="80" w:before="60" w:line="252" w:lineRule="auto"/>
            </w:pPr>
            <w:r>
              <w:rPr>
                <w:b/>
                <w:sz w:val="18"/>
              </w:rPr>
              <w:t>实际输入几何与边界</w:t>
            </w:r>
          </w:p>
        </w:tc>
      </w:tr>
      <w:tr>
        <w:trPr>
          <w:cantSplit/>
        </w:trPr>
        <w:tc>
          <w:tcPr>
            <w:tcW w:type="dxa" w:w="2313"/>
          </w:tcPr>
          <w:p>
            <w:pPr>
              <w:spacing w:after="80" w:before="60" w:line="252" w:lineRule="auto"/>
            </w:pPr>
            <w:r>
              <w:rPr>
                <w:sz w:val="18"/>
              </w:rPr>
              <w:t>仪器机身局部包络</w:t>
            </w:r>
          </w:p>
        </w:tc>
        <w:tc>
          <w:tcPr>
            <w:tcW w:type="dxa" w:w="3180"/>
          </w:tcPr>
          <w:p>
            <w:pPr>
              <w:spacing w:after="80" w:before="60" w:line="252" w:lineRule="auto"/>
            </w:pPr>
            <w:r>
              <w:rPr>
                <w:sz w:val="18"/>
              </w:rPr>
              <w:t>原源 / 派生保持</w:t>
            </w:r>
          </w:p>
        </w:tc>
        <w:tc>
          <w:tcPr>
            <w:tcW w:type="dxa" w:w="4144"/>
          </w:tcPr>
          <w:p>
            <w:pPr>
              <w:spacing w:after="80" w:before="60" w:line="252" w:lineRule="auto"/>
            </w:pPr>
            <w:r>
              <w:rPr>
                <w:sz w:val="18"/>
              </w:rPr>
              <w:t>均为 520.5 × 630.0 × 230.0 mm</w:t>
            </w:r>
          </w:p>
        </w:tc>
      </w:tr>
      <w:tr>
        <w:trPr>
          <w:cantSplit/>
        </w:trPr>
        <w:tc>
          <w:tcPr>
            <w:tcW w:type="dxa" w:w="2313"/>
          </w:tcPr>
          <w:p>
            <w:pPr>
              <w:spacing w:after="80" w:before="60" w:line="252" w:lineRule="auto"/>
            </w:pPr>
            <w:r>
              <w:rPr>
                <w:sz w:val="18"/>
              </w:rPr>
              <w:t>原开盖整装配</w:t>
            </w:r>
          </w:p>
        </w:tc>
        <w:tc>
          <w:tcPr>
            <w:tcW w:type="dxa" w:w="3180"/>
          </w:tcPr>
          <w:p>
            <w:pPr>
              <w:spacing w:after="80" w:before="60" w:line="252" w:lineRule="auto"/>
            </w:pPr>
            <w:r>
              <w:rPr>
                <w:sz w:val="18"/>
              </w:rPr>
              <w:t>原源盖板姿态</w:t>
            </w:r>
          </w:p>
        </w:tc>
        <w:tc>
          <w:tcPr>
            <w:tcW w:type="dxa" w:w="4144"/>
          </w:tcPr>
          <w:p>
            <w:pPr>
              <w:spacing w:after="80" w:before="60" w:line="252" w:lineRule="auto"/>
            </w:pPr>
            <w:r>
              <w:rPr>
                <w:sz w:val="18"/>
              </w:rPr>
              <w:t>520.5 × 634.624772 × 435.480987 mm</w:t>
            </w:r>
          </w:p>
        </w:tc>
      </w:tr>
      <w:tr>
        <w:trPr>
          <w:cantSplit/>
        </w:trPr>
        <w:tc>
          <w:tcPr>
            <w:tcW w:type="dxa" w:w="2313"/>
          </w:tcPr>
          <w:p>
            <w:pPr>
              <w:spacing w:after="80" w:before="60" w:line="252" w:lineRule="auto"/>
            </w:pPr>
            <w:r>
              <w:rPr>
                <w:sz w:val="18"/>
              </w:rPr>
              <w:t>派生开盖整装配</w:t>
            </w:r>
          </w:p>
        </w:tc>
        <w:tc>
          <w:tcPr>
            <w:tcW w:type="dxa" w:w="3180"/>
          </w:tcPr>
          <w:p>
            <w:pPr>
              <w:spacing w:after="80" w:before="60" w:line="252" w:lineRule="auto"/>
            </w:pPr>
            <w:r>
              <w:rPr>
                <w:sz w:val="18"/>
              </w:rPr>
              <w:t>继承近 90° 盖板姿态</w:t>
            </w:r>
          </w:p>
        </w:tc>
        <w:tc>
          <w:tcPr>
            <w:tcW w:type="dxa" w:w="4144"/>
          </w:tcPr>
          <w:p>
            <w:pPr>
              <w:spacing w:after="80" w:before="60" w:line="252" w:lineRule="auto"/>
            </w:pPr>
            <w:r>
              <w:rPr>
                <w:sz w:val="18"/>
              </w:rPr>
              <w:t>520.5 × 630.0 × 576.999999 mm；盖板刚体姿态不同，不是整机拉伸</w:t>
            </w:r>
          </w:p>
        </w:tc>
      </w:tr>
      <w:tr>
        <w:trPr>
          <w:cantSplit/>
        </w:trPr>
        <w:tc>
          <w:tcPr>
            <w:tcW w:type="dxa" w:w="2313"/>
          </w:tcPr>
          <w:p>
            <w:pPr>
              <w:spacing w:after="80" w:before="60" w:line="252" w:lineRule="auto"/>
            </w:pPr>
            <w:r>
              <w:rPr>
                <w:sz w:val="18"/>
              </w:rPr>
              <w:t>最终整装配世界 AABB</w:t>
            </w:r>
          </w:p>
        </w:tc>
        <w:tc>
          <w:tcPr>
            <w:tcW w:type="dxa" w:w="3180"/>
          </w:tcPr>
          <w:p>
            <w:pPr>
              <w:spacing w:after="80" w:before="60" w:line="252" w:lineRule="auto"/>
            </w:pPr>
            <w:r>
              <w:rPr>
                <w:sz w:val="18"/>
              </w:rPr>
              <w:t>仪器 root yaw 135°</w:t>
            </w:r>
          </w:p>
        </w:tc>
        <w:tc>
          <w:tcPr>
            <w:tcW w:type="dxa" w:w="4144"/>
          </w:tcPr>
          <w:p>
            <w:pPr>
              <w:spacing w:after="80" w:before="60" w:line="252" w:lineRule="auto"/>
            </w:pPr>
            <w:r>
              <w:rPr>
                <w:sz w:val="18"/>
              </w:rPr>
              <w:t>813.172798 × 813.172798 × 576.999999 mm；旋转后的投影包络，不是部件尺寸变化</w:t>
            </w:r>
          </w:p>
        </w:tc>
      </w:tr>
      <w:tr>
        <w:trPr>
          <w:cantSplit/>
        </w:trPr>
        <w:tc>
          <w:tcPr>
            <w:tcW w:type="dxa" w:w="2313"/>
          </w:tcPr>
          <w:p>
            <w:pPr>
              <w:spacing w:after="80" w:before="60" w:line="252" w:lineRule="auto"/>
            </w:pPr>
            <w:r>
              <w:rPr>
                <w:sz w:val="18"/>
              </w:rPr>
              <w:t>原器皿视觉包络</w:t>
            </w:r>
          </w:p>
        </w:tc>
        <w:tc>
          <w:tcPr>
            <w:tcW w:type="dxa" w:w="3180"/>
          </w:tcPr>
          <w:p>
            <w:pPr>
              <w:spacing w:after="80" w:before="60" w:line="252" w:lineRule="auto"/>
            </w:pPr>
            <w:r>
              <w:rPr>
                <w:sz w:val="18"/>
              </w:rPr>
              <w:t>14.85 × 14.85 × 67.5 mm</w:t>
            </w:r>
          </w:p>
        </w:tc>
        <w:tc>
          <w:tcPr>
            <w:tcW w:type="dxa" w:w="4144"/>
          </w:tcPr>
          <w:p>
            <w:pPr>
              <w:spacing w:after="80" w:before="60" w:line="252" w:lineRule="auto"/>
            </w:pPr>
            <w:r>
              <w:rPr>
                <w:sz w:val="18"/>
              </w:rPr>
              <w:t>14.8500055 × 14.8500055 × 67.4999952 mm；原文件保留</w:t>
            </w:r>
          </w:p>
        </w:tc>
      </w:tr>
      <w:tr>
        <w:trPr>
          <w:cantSplit/>
        </w:trPr>
        <w:tc>
          <w:tcPr>
            <w:tcW w:type="dxa" w:w="2313"/>
          </w:tcPr>
          <w:p>
            <w:pPr>
              <w:spacing w:after="80" w:before="60" w:line="252" w:lineRule="auto"/>
            </w:pPr>
            <w:r>
              <w:rPr>
                <w:sz w:val="18"/>
              </w:rPr>
              <w:t>派生器皿视觉包络</w:t>
            </w:r>
          </w:p>
        </w:tc>
        <w:tc>
          <w:tcPr>
            <w:tcW w:type="dxa" w:w="3180"/>
          </w:tcPr>
          <w:p>
            <w:pPr>
              <w:spacing w:after="80" w:before="60" w:line="252" w:lineRule="auto"/>
            </w:pPr>
            <w:r>
              <w:rPr>
                <w:sz w:val="18"/>
              </w:rPr>
              <w:t>12.5 × 12.5 × 67.5 mm</w:t>
            </w:r>
          </w:p>
        </w:tc>
        <w:tc>
          <w:tcPr>
            <w:tcW w:type="dxa" w:w="4144"/>
          </w:tcPr>
          <w:p>
            <w:pPr>
              <w:spacing w:after="80" w:before="60" w:line="252" w:lineRule="auto"/>
            </w:pPr>
            <w:r>
              <w:rPr>
                <w:sz w:val="18"/>
              </w:rPr>
              <w:t>12.5000048 × 12.5000048 × 67.4999952 mm</w:t>
            </w:r>
          </w:p>
        </w:tc>
      </w:tr>
      <w:tr>
        <w:trPr>
          <w:cantSplit/>
        </w:trPr>
        <w:tc>
          <w:tcPr>
            <w:tcW w:type="dxa" w:w="2313"/>
          </w:tcPr>
          <w:p>
            <w:pPr>
              <w:spacing w:after="80" w:before="60" w:line="252" w:lineRule="auto"/>
            </w:pPr>
            <w:r>
              <w:rPr>
                <w:sz w:val="18"/>
              </w:rPr>
              <w:t>派生碰撞输入并集包络</w:t>
            </w:r>
          </w:p>
        </w:tc>
        <w:tc>
          <w:tcPr>
            <w:tcW w:type="dxa" w:w="3180"/>
          </w:tcPr>
          <w:p>
            <w:pPr>
              <w:spacing w:after="80" w:before="60" w:line="252" w:lineRule="auto"/>
            </w:pPr>
            <w:r>
              <w:rPr>
                <w:sz w:val="18"/>
              </w:rPr>
              <w:t>同一器皿，28 块输入</w:t>
            </w:r>
          </w:p>
        </w:tc>
        <w:tc>
          <w:tcPr>
            <w:tcW w:type="dxa" w:w="4144"/>
          </w:tcPr>
          <w:p>
            <w:pPr>
              <w:spacing w:after="80" w:before="60" w:line="252" w:lineRule="auto"/>
            </w:pPr>
            <w:r>
              <w:rPr>
                <w:sz w:val="18"/>
              </w:rPr>
              <w:t>12.5000054 × 12.5000054 × 67.4999956 mm；不等于烹饪后全表面误差</w:t>
            </w:r>
          </w:p>
        </w:tc>
      </w:tr>
      <w:tr>
        <w:trPr>
          <w:cantSplit/>
        </w:trPr>
        <w:tc>
          <w:tcPr>
            <w:tcW w:type="dxa" w:w="2313"/>
          </w:tcPr>
          <w:p>
            <w:pPr>
              <w:spacing w:after="80" w:before="60" w:line="252" w:lineRule="auto"/>
            </w:pPr>
            <w:r>
              <w:rPr>
                <w:sz w:val="18"/>
              </w:rPr>
              <w:t>原 A/B 座外包络</w:t>
            </w:r>
          </w:p>
        </w:tc>
        <w:tc>
          <w:tcPr>
            <w:tcW w:type="dxa" w:w="3180"/>
          </w:tcPr>
          <w:p>
            <w:pPr>
              <w:spacing w:after="80" w:before="60" w:line="252" w:lineRule="auto"/>
            </w:pPr>
            <w:r>
              <w:rPr>
                <w:sz w:val="18"/>
              </w:rPr>
              <w:t>保持源 CAD</w:t>
            </w:r>
          </w:p>
        </w:tc>
        <w:tc>
          <w:tcPr>
            <w:tcW w:type="dxa" w:w="4144"/>
          </w:tcPr>
          <w:p>
            <w:pPr>
              <w:spacing w:after="80" w:before="60" w:line="252" w:lineRule="auto"/>
            </w:pPr>
            <w:r>
              <w:rPr>
                <w:sz w:val="18"/>
              </w:rPr>
              <w:t>每座约 20.4 × 20.4 × 29.0 mm；全部凸起保留</w:t>
            </w:r>
          </w:p>
        </w:tc>
      </w:tr>
      <w:tr>
        <w:trPr>
          <w:cantSplit/>
        </w:trPr>
        <w:tc>
          <w:tcPr>
            <w:tcW w:type="dxa" w:w="2313"/>
          </w:tcPr>
          <w:p>
            <w:pPr>
              <w:spacing w:after="80" w:before="60" w:line="252" w:lineRule="auto"/>
            </w:pPr>
            <w:r>
              <w:rPr>
                <w:sz w:val="18"/>
              </w:rPr>
              <w:t>原座中央参考宽</w:t>
            </w:r>
          </w:p>
        </w:tc>
        <w:tc>
          <w:tcPr>
            <w:tcW w:type="dxa" w:w="3180"/>
          </w:tcPr>
          <w:p>
            <w:pPr>
              <w:spacing w:after="80" w:before="60" w:line="252" w:lineRule="auto"/>
            </w:pPr>
            <w:r>
              <w:rPr>
                <w:sz w:val="18"/>
              </w:rPr>
              <w:t>12.6 mm</w:t>
            </w:r>
          </w:p>
        </w:tc>
        <w:tc>
          <w:tcPr>
            <w:tcW w:type="dxa" w:w="4144"/>
          </w:tcPr>
          <w:p>
            <w:pPr>
              <w:spacing w:after="80" w:before="60" w:line="252" w:lineRule="auto"/>
            </w:pPr>
            <w:r>
              <w:rPr>
                <w:sz w:val="18"/>
              </w:rPr>
              <w:t>若干中央截面边界间距，不是全深度有效方孔净宽</w:t>
            </w:r>
          </w:p>
        </w:tc>
      </w:tr>
      <w:tr>
        <w:trPr>
          <w:cantSplit/>
        </w:trPr>
        <w:tc>
          <w:tcPr>
            <w:tcW w:type="dxa" w:w="2313"/>
          </w:tcPr>
          <w:p>
            <w:pPr>
              <w:spacing w:after="80" w:before="60" w:line="252" w:lineRule="auto"/>
            </w:pPr>
            <w:r>
              <w:rPr>
                <w:sz w:val="18"/>
              </w:rPr>
              <w:t>候选承托 / 插入深度</w:t>
            </w:r>
          </w:p>
        </w:tc>
        <w:tc>
          <w:tcPr>
            <w:tcW w:type="dxa" w:w="3180"/>
          </w:tcPr>
          <w:p>
            <w:pPr>
              <w:spacing w:after="80" w:before="60" w:line="252" w:lineRule="auto"/>
            </w:pPr>
            <w:r>
              <w:rPr>
                <w:sz w:val="18"/>
              </w:rPr>
              <w:t>座底上 2 mm / 插入 27 mm</w:t>
            </w:r>
          </w:p>
        </w:tc>
        <w:tc>
          <w:tcPr>
            <w:tcW w:type="dxa" w:w="4144"/>
          </w:tcPr>
          <w:p>
            <w:pPr>
              <w:spacing w:after="80" w:before="60" w:line="252" w:lineRule="auto"/>
            </w:pPr>
            <w:r>
              <w:rPr>
                <w:sz w:val="18"/>
              </w:rPr>
              <w:t>中央下射线最高表面命中点，未由实物或物理装载确认</w:t>
            </w:r>
          </w:p>
        </w:tc>
      </w:tr>
      <w:tr>
        <w:trPr>
          <w:cantSplit/>
        </w:trPr>
        <w:tc>
          <w:tcPr>
            <w:tcW w:type="dxa" w:w="2313"/>
          </w:tcPr>
          <w:p>
            <w:pPr>
              <w:spacing w:after="80" w:before="60" w:line="252" w:lineRule="auto"/>
            </w:pPr>
            <w:r>
              <w:rPr>
                <w:sz w:val="18"/>
              </w:rPr>
              <w:t>顶框内伸特征</w:t>
            </w:r>
          </w:p>
        </w:tc>
        <w:tc>
          <w:tcPr>
            <w:tcW w:type="dxa" w:w="3180"/>
          </w:tcPr>
          <w:p>
            <w:pPr>
              <w:spacing w:after="80" w:before="60" w:line="252" w:lineRule="auto"/>
            </w:pPr>
            <w:r>
              <w:rPr>
                <w:sz w:val="18"/>
              </w:rPr>
              <w:t>每座两处</w:t>
            </w:r>
          </w:p>
        </w:tc>
        <w:tc>
          <w:tcPr>
            <w:tcW w:type="dxa" w:w="4144"/>
          </w:tcPr>
          <w:p>
            <w:pPr>
              <w:spacing w:after="80" w:before="60" w:line="252" w:lineRule="auto"/>
            </w:pPr>
            <w:r>
              <w:rPr>
                <w:sz w:val="18"/>
              </w:rPr>
              <w:t>各约 0.8 × 1.5 × 1.0 mm，与座体属于同一 Mesh，功能未知</w:t>
            </w:r>
          </w:p>
        </w:tc>
      </w:tr>
      <w:tr>
        <w:trPr>
          <w:cantSplit/>
        </w:trPr>
        <w:tc>
          <w:tcPr>
            <w:tcW w:type="dxa" w:w="2313"/>
          </w:tcPr>
          <w:p>
            <w:pPr>
              <w:spacing w:after="80" w:before="60" w:line="252" w:lineRule="auto"/>
            </w:pPr>
            <w:r>
              <w:rPr>
                <w:sz w:val="18"/>
              </w:rPr>
              <w:t>源架 / 槽设计尺寸</w:t>
            </w:r>
          </w:p>
        </w:tc>
        <w:tc>
          <w:tcPr>
            <w:tcW w:type="dxa" w:w="3180"/>
          </w:tcPr>
          <w:p>
            <w:pPr>
              <w:spacing w:after="80" w:before="60" w:line="252" w:lineRule="auto"/>
            </w:pPr>
            <w:r>
              <w:rPr>
                <w:sz w:val="18"/>
              </w:rPr>
              <w:t>未实测的工程假设</w:t>
            </w:r>
          </w:p>
        </w:tc>
        <w:tc>
          <w:tcPr>
            <w:tcW w:type="dxa" w:w="4144"/>
          </w:tcPr>
          <w:p>
            <w:pPr>
              <w:spacing w:after="80" w:before="60" w:line="252" w:lineRule="auto"/>
            </w:pPr>
            <w:r>
              <w:rPr>
                <w:sz w:val="18"/>
              </w:rPr>
              <w:t>架体 110 × 110 × 28 mm，槽内 16 × 16 × 25 mm，底 3 mm、壁 2 mm</w:t>
            </w:r>
          </w:p>
        </w:tc>
      </w:tr>
    </w:tbl>
    <w:p>
      <w:r>
        <w:t xml:space="preserve">派生变换为 </w:t>
      </w:r>
      <w:r>
        <w:t>diag(12.5/14.85, 12.5/14.85, 1)</w:t>
      </w:r>
      <w:r>
        <w:t>。视觉材料网格与全部 28 块厚壁碰撞输入应用同一变换；拓扑、全部 Z 顶点、底部 Z=0、其余材质与接触参数保持，没有局部壁形让位。这是授权的新尺寸假设器皿，不能称作原 CAD 已纠正或真实型号已配套。源架槽内宽 16 mm，对新器皿有 1.75 mm 名义单边宽度余量；它与目标原座的配合关口不同。</w:t>
      </w:r>
    </w:p>
    <w:p>
      <w:r>
        <w:t xml:space="preserve">质量仍为 </w:t>
      </w:r>
      <w:r>
        <w:rPr>
          <w:b/>
        </w:rPr>
        <w:t>20 g 工程假设</w:t>
      </w:r>
      <w:r>
        <w:t xml:space="preserve">。闭合、定向一致的实际视觉材料边界积分给出质心、完整惯量张量与主轴；固定质量后推算同质密度约 5554.83 kg/m³，不是实测材料密度。派生质心 Z 约 29.027633 mm，主惯量约 </w:t>
      </w:r>
      <w:r>
        <w:t>[0.8117794, 9.3572084, 9.3572088] × 10⁻⁶ kg·m²</w:t>
      </w:r>
      <w:r>
        <w:t xml:space="preserve">。采用完整仿射二阶矩关系、独立 trimesh 积分及 USD 重载核对，没有使用单一等比 </w:t>
      </w:r>
      <w:r>
        <w:t>s²</w:t>
      </w:r>
      <w:r>
        <w:t xml:space="preserve"> 规则或重叠凸包体积和。</w:t>
      </w:r>
    </w:p>
    <w:p>
      <w:r>
        <w:t xml:space="preserve">独立重载的 942 项非预期修改属性与 88 项关系均一致；质心和惯量为有意重算项。新目录复建得到逐字节相同的 USD。13 个高度截面检查覆盖杯底至杯口，均为 CPU 输入几何检查，未读取 PhysX 烹饪形状的完整表面。详见 </w:t>
      </w:r>
      <w:hyperlink r:id="rId11">
        <w:r>
          <w:rPr>
            <w:color w:val="185A82"/>
          </w:rPr>
          <w:t>器皿证据</w:t>
        </w:r>
      </w:hyperlink>
      <w:r>
        <w:t>、</w:t>
      </w:r>
      <w:hyperlink r:id="rId12">
        <w:r>
          <w:rPr>
            <w:color w:val="185A82"/>
          </w:rPr>
          <w:t>实际尺寸</w:t>
        </w:r>
      </w:hyperlink>
      <w:r>
        <w:t>及</w:t>
      </w:r>
      <w:hyperlink r:id="rId13">
        <w:r>
          <w:rPr>
            <w:color w:val="185A82"/>
          </w:rPr>
          <w:t>质量与惯量</w:t>
        </w:r>
      </w:hyperlink>
      <w:r>
        <w:t>。</w:t>
      </w:r>
    </w:p>
    <w:p>
      <w:pPr>
        <w:pStyle w:val="Heading1"/>
      </w:pPr>
      <w:r>
        <w:t>原 A B 座为何仍受阻</w:t>
      </w:r>
    </w:p>
    <w:p>
      <w:r>
        <w:t xml:space="preserve">加密核查重新读取原始三角网格，原 A 为目标、原 B 为对照，没有使用 16 mm 工程适配座。两座结论均为 </w:t>
      </w:r>
      <w:r>
        <w:t>BLOCKED_ORIGINAL_MATERIAL_INTERSECTION</w:t>
      </w:r>
      <w:r>
        <w:t>。</w:t>
      </w:r>
    </w:p>
    <w:tbl>
      <w:tblPr>
        <w:tblW w:type="auto" w:w="0"/>
        <w:tblLayout w:type="fixed"/>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213"/>
        <w:gridCol w:w="3213"/>
        <w:gridCol w:w="3213"/>
      </w:tblGrid>
      <w:tr>
        <w:trPr>
          <w:cantSplit/>
          <w:tblHeader/>
        </w:trPr>
        <w:tc>
          <w:tcPr>
            <w:tcW w:type="dxa" w:w="2313"/>
            <w:shd w:fill="EFEFEF"/>
          </w:tcPr>
          <w:p>
            <w:pPr>
              <w:spacing w:after="80" w:before="60" w:line="252" w:lineRule="auto"/>
            </w:pPr>
            <w:r>
              <w:rPr>
                <w:b/>
                <w:sz w:val="18"/>
              </w:rPr>
              <w:t>核查项</w:t>
            </w:r>
          </w:p>
        </w:tc>
        <w:tc>
          <w:tcPr>
            <w:tcW w:type="dxa" w:w="3180"/>
            <w:shd w:fill="EFEFEF"/>
          </w:tcPr>
          <w:p>
            <w:pPr>
              <w:spacing w:after="80" w:before="60" w:line="252" w:lineRule="auto"/>
            </w:pPr>
            <w:r>
              <w:rPr>
                <w:b/>
                <w:sz w:val="18"/>
              </w:rPr>
              <w:t>原 A</w:t>
            </w:r>
          </w:p>
        </w:tc>
        <w:tc>
          <w:tcPr>
            <w:tcW w:type="dxa" w:w="4144"/>
            <w:shd w:fill="EFEFEF"/>
          </w:tcPr>
          <w:p>
            <w:pPr>
              <w:spacing w:after="80" w:before="60" w:line="252" w:lineRule="auto"/>
            </w:pPr>
            <w:r>
              <w:rPr>
                <w:b/>
                <w:sz w:val="18"/>
              </w:rPr>
              <w:t>原 B</w:t>
            </w:r>
          </w:p>
        </w:tc>
      </w:tr>
      <w:tr>
        <w:trPr>
          <w:cantSplit/>
        </w:trPr>
        <w:tc>
          <w:tcPr>
            <w:tcW w:type="dxa" w:w="2313"/>
          </w:tcPr>
          <w:p>
            <w:pPr>
              <w:spacing w:after="80" w:before="60" w:line="252" w:lineRule="auto"/>
            </w:pPr>
            <w:r>
              <w:rPr>
                <w:sz w:val="18"/>
              </w:rPr>
              <w:t>声明终态插入深度</w:t>
            </w:r>
          </w:p>
        </w:tc>
        <w:tc>
          <w:tcPr>
            <w:tcW w:type="dxa" w:w="3180"/>
          </w:tcPr>
          <w:p>
            <w:pPr>
              <w:spacing w:after="80" w:before="60" w:line="252" w:lineRule="auto"/>
            </w:pPr>
            <w:r>
              <w:rPr>
                <w:sz w:val="18"/>
              </w:rPr>
              <w:t>27.000 mm</w:t>
            </w:r>
          </w:p>
        </w:tc>
        <w:tc>
          <w:tcPr>
            <w:tcW w:type="dxa" w:w="4144"/>
          </w:tcPr>
          <w:p>
            <w:pPr>
              <w:spacing w:after="80" w:before="60" w:line="252" w:lineRule="auto"/>
            </w:pPr>
            <w:r>
              <w:rPr>
                <w:sz w:val="18"/>
              </w:rPr>
              <w:t>27.000 mm</w:t>
            </w:r>
          </w:p>
        </w:tc>
      </w:tr>
      <w:tr>
        <w:trPr>
          <w:cantSplit/>
        </w:trPr>
        <w:tc>
          <w:tcPr>
            <w:tcW w:type="dxa" w:w="2313"/>
          </w:tcPr>
          <w:p>
            <w:pPr>
              <w:spacing w:after="80" w:before="60" w:line="252" w:lineRule="auto"/>
            </w:pPr>
            <w:r>
              <w:rPr>
                <w:sz w:val="18"/>
              </w:rPr>
              <w:t>终态真实截面交叉的采样层</w:t>
            </w:r>
          </w:p>
        </w:tc>
        <w:tc>
          <w:tcPr>
            <w:tcW w:type="dxa" w:w="3180"/>
          </w:tcPr>
          <w:p>
            <w:pPr>
              <w:spacing w:after="80" w:before="60" w:line="252" w:lineRule="auto"/>
            </w:pPr>
            <w:r>
              <w:rPr>
                <w:sz w:val="18"/>
              </w:rPr>
              <w:t>21 层</w:t>
            </w:r>
          </w:p>
        </w:tc>
        <w:tc>
          <w:tcPr>
            <w:tcW w:type="dxa" w:w="4144"/>
          </w:tcPr>
          <w:p>
            <w:pPr>
              <w:spacing w:after="80" w:before="60" w:line="252" w:lineRule="auto"/>
            </w:pPr>
            <w:r>
              <w:rPr>
                <w:sz w:val="18"/>
              </w:rPr>
              <w:t>21 层</w:t>
            </w:r>
          </w:p>
        </w:tc>
      </w:tr>
      <w:tr>
        <w:trPr>
          <w:cantSplit/>
        </w:trPr>
        <w:tc>
          <w:tcPr>
            <w:tcW w:type="dxa" w:w="2313"/>
          </w:tcPr>
          <w:p>
            <w:pPr>
              <w:spacing w:after="80" w:before="60" w:line="252" w:lineRule="auto"/>
            </w:pPr>
            <w:r>
              <w:rPr>
                <w:sz w:val="18"/>
              </w:rPr>
              <w:t>已观察座边界点落入杯材料的最大点深度</w:t>
            </w:r>
          </w:p>
        </w:tc>
        <w:tc>
          <w:tcPr>
            <w:tcW w:type="dxa" w:w="3180"/>
          </w:tcPr>
          <w:p>
            <w:pPr>
              <w:spacing w:after="80" w:before="60" w:line="252" w:lineRule="auto"/>
            </w:pPr>
            <w:r>
              <w:rPr>
                <w:sz w:val="18"/>
              </w:rPr>
              <w:t>0.580803 mm</w:t>
            </w:r>
          </w:p>
        </w:tc>
        <w:tc>
          <w:tcPr>
            <w:tcW w:type="dxa" w:w="4144"/>
          </w:tcPr>
          <w:p>
            <w:pPr>
              <w:spacing w:after="80" w:before="60" w:line="252" w:lineRule="auto"/>
            </w:pPr>
            <w:r>
              <w:rPr>
                <w:sz w:val="18"/>
              </w:rPr>
              <w:t>0.579034 mm</w:t>
            </w:r>
          </w:p>
        </w:tc>
      </w:tr>
      <w:tr>
        <w:trPr>
          <w:cantSplit/>
        </w:trPr>
        <w:tc>
          <w:tcPr>
            <w:tcW w:type="dxa" w:w="2313"/>
          </w:tcPr>
          <w:p>
            <w:pPr>
              <w:spacing w:after="80" w:before="60" w:line="252" w:lineRule="auto"/>
            </w:pPr>
            <w:r>
              <w:rPr>
                <w:sz w:val="18"/>
              </w:rPr>
              <w:t>25 µm 纵向加密中首次已观察交叉深度</w:t>
            </w:r>
          </w:p>
        </w:tc>
        <w:tc>
          <w:tcPr>
            <w:tcW w:type="dxa" w:w="3180"/>
          </w:tcPr>
          <w:p>
            <w:pPr>
              <w:spacing w:after="80" w:before="60" w:line="252" w:lineRule="auto"/>
            </w:pPr>
            <w:r>
              <w:rPr>
                <w:sz w:val="18"/>
              </w:rPr>
              <w:t>0.025 mm</w:t>
            </w:r>
          </w:p>
        </w:tc>
        <w:tc>
          <w:tcPr>
            <w:tcW w:type="dxa" w:w="4144"/>
          </w:tcPr>
          <w:p>
            <w:pPr>
              <w:spacing w:after="80" w:before="60" w:line="252" w:lineRule="auto"/>
            </w:pPr>
            <w:r>
              <w:rPr>
                <w:sz w:val="18"/>
              </w:rPr>
              <w:t>0.025 mm</w:t>
            </w:r>
          </w:p>
        </w:tc>
      </w:tr>
      <w:tr>
        <w:trPr>
          <w:cantSplit/>
        </w:trPr>
        <w:tc>
          <w:tcPr>
            <w:tcW w:type="dxa" w:w="2313"/>
          </w:tcPr>
          <w:p>
            <w:pPr>
              <w:spacing w:after="80" w:before="60" w:line="252" w:lineRule="auto"/>
            </w:pPr>
            <w:r>
              <w:rPr>
                <w:sz w:val="18"/>
              </w:rPr>
              <w:t>±50 µm XY、±0.5° yaw 的有限终态诊断</w:t>
            </w:r>
          </w:p>
        </w:tc>
        <w:tc>
          <w:tcPr>
            <w:tcW w:type="dxa" w:w="3180"/>
          </w:tcPr>
          <w:p>
            <w:pPr>
              <w:spacing w:after="80" w:before="60" w:line="252" w:lineRule="auto"/>
            </w:pPr>
            <w:r>
              <w:rPr>
                <w:sz w:val="18"/>
              </w:rPr>
              <w:t>45 姿态均交叉</w:t>
            </w:r>
          </w:p>
        </w:tc>
        <w:tc>
          <w:tcPr>
            <w:tcW w:type="dxa" w:w="4144"/>
          </w:tcPr>
          <w:p>
            <w:pPr>
              <w:spacing w:after="80" w:before="60" w:line="252" w:lineRule="auto"/>
            </w:pPr>
            <w:r>
              <w:rPr>
                <w:sz w:val="18"/>
              </w:rPr>
              <w:t>45 姿态均交叉</w:t>
            </w:r>
          </w:p>
        </w:tc>
      </w:tr>
    </w:tbl>
    <w:p>
      <w:r>
        <w:t>点深度是“落入闭合杯材料的座边界点到实际杯三角面的距离”，属于材料相交见证，不能当作全局误差、接触精度或孔径修正量。截面间距为 50 µm，首次观测交叉不是严格最早接触；45 个离散姿态也没有证明所有连续姿态或斜插路径都不可能。</w:t>
      </w:r>
    </w:p>
    <w:p>
      <w:r>
        <w:t xml:space="preserve">顶框内伸块/薄片约在 X ∈ [−5.5, −4.7] mm、Y ∈ ±[4.8, 6.3] mm、Z ∈ [28, 29] mm，偏离中央宽度采样线。源命名、属性与材质不足以证明它是可退让弹片，没有已知弹性参数或独立可动件。薄片几何和金属外观不能替代机械依据，因此保留刚性源座，不扩孔、删凸起、缩碰撞体或使用负 </w:t>
      </w:r>
      <w:r>
        <w:t>rest_offset</w:t>
      </w:r>
      <w:r>
        <w:t>。</w:t>
      </w:r>
    </w:p>
    <w:p>
      <w:pPr>
        <w:keepNext/>
        <w:jc w:val="center"/>
      </w:pPr>
      <w:r>
        <w:drawing>
          <wp:inline xmlns:a="http://schemas.openxmlformats.org/drawingml/2006/main" xmlns:pic="http://schemas.openxmlformats.org/drawingml/2006/picture">
            <wp:extent cx="6000000" cy="3600000"/>
            <wp:docPr id="1" name="Picture 1" descr="原 A/B 座与派生器皿的截面配合"/>
            <wp:cNvGraphicFramePr>
              <a:graphicFrameLocks noChangeAspect="1"/>
            </wp:cNvGraphicFramePr>
            <a:graphic>
              <a:graphicData uri="http://schemas.openxmlformats.org/drawingml/2006/picture">
                <pic:pic>
                  <pic:nvPicPr>
                    <pic:cNvPr id="0" name="native_pair_sections.png"/>
                    <pic:cNvPicPr/>
                  </pic:nvPicPr>
                  <pic:blipFill>
                    <a:blip r:embed="rId14"/>
                    <a:stretch>
                      <a:fillRect/>
                    </a:stretch>
                  </pic:blipFill>
                  <pic:spPr>
                    <a:xfrm>
                      <a:off x="0" y="0"/>
                      <a:ext cx="6000000" cy="3600000"/>
                    </a:xfrm>
                    <a:prstGeom prst="rect"/>
                  </pic:spPr>
                </pic:pic>
              </a:graphicData>
            </a:graphic>
          </wp:inline>
        </w:drawing>
      </w:r>
    </w:p>
    <w:p>
      <w:pPr>
        <w:pStyle w:val="Caption"/>
      </w:pPr>
      <w:r>
        <w:t>图 1：CPU 实际三角面截面核查，不是物理插入轨迹。详见</w:t>
      </w:r>
      <w:hyperlink r:id="rId15">
        <w:r>
          <w:rPr>
            <w:color w:val="185A82"/>
          </w:rPr>
          <w:t>加密核查</w:t>
        </w:r>
      </w:hyperlink>
      <w:r>
        <w:t>与</w:t>
      </w:r>
      <w:hyperlink r:id="rId16">
        <w:r>
          <w:rPr>
            <w:color w:val="185A82"/>
          </w:rPr>
          <w:t>内伸特征身份</w:t>
        </w:r>
      </w:hyperlink>
      <w:r>
        <w:t>。</w:t>
      </w:r>
    </w:p>
    <w:p>
      <w:r>
        <w:t>完整任务入口已实际调用：</w:t>
      </w:r>
      <w:hyperlink r:id="rId17">
        <w:r>
          <w:rPr>
            <w:color w:val="185A82"/>
          </w:rPr>
          <w:t>native_gate_01</w:t>
        </w:r>
      </w:hyperlink>
      <w:r>
        <w:t xml:space="preserve"> 在创建仿真应用前返回 </w:t>
      </w:r>
      <w:r>
        <w:t>GEOMETRY_BLOCKED_NOT_EXECUTED</w:t>
      </w:r>
      <w:r>
        <w:t>，物理执行为 false。这是实际软件关口验证，不是一次物理插入失败。允许的受限诊断只抓取、搬运至座口上方 1 mm、上抬 10 mm 并保持，不插入、不松爪；当前停止线世界 Z=0.915 m。离线审计另给出的座最高三角面上方 0.5 mm 只涉及座几何，不能代替整手、腔壁和整臂净空检查。</w:t>
      </w:r>
    </w:p>
    <w:p>
      <w:pPr>
        <w:pStyle w:val="Heading1"/>
      </w:pPr>
      <w:r>
        <w:t>单仪器朝向与最终静态场景</w:t>
      </w:r>
    </w:p>
    <w:p>
      <w:r>
        <w:t xml:space="preserve">仪器只有一个 </w:t>
      </w:r>
      <w:r>
        <w:t>/World/Instrument</w:t>
      </w:r>
      <w:r>
        <w:t xml:space="preserve"> 根节点；原 A/B、8 个视觉实例及 8 个仪器碰撞输入保留，没有第二台仪器或工程适配座。源固有 X90、mm→m 归一化、继承近 90° 盖板派生及本轮 root yaw 在各自层级仅处理一次。</w:t>
      </w:r>
    </w:p>
    <w:p>
      <w:r>
        <w:t xml:space="preserve">几何上，铰链轴沿 local X，A 比 B 更远离铰链，local +Y 定义为接近侧。仪器原点 </w:t>
      </w:r>
      <w:r>
        <w:t>[0.36, 0.18, 0.74] m</w:t>
      </w:r>
      <w:r>
        <w:t xml:space="preserve">、源架中心 </w:t>
      </w:r>
      <w:r>
        <w:t>[−0.04, −0.22, 0.74] m</w:t>
      </w:r>
      <w:r>
        <w:t xml:space="preserve"> 按 </w:t>
      </w:r>
      <w:r>
        <w:t>atan2(架−仪器)−90°</w:t>
      </w:r>
      <w:r>
        <w:t xml:space="preserve"> 得到 </w:t>
      </w:r>
      <w:r>
        <w:rPr>
          <w:b/>
        </w:rPr>
        <w:t>仪器 yaw 135°</w:t>
      </w:r>
      <w:r>
        <w:t>；旋转后 local +Y 与原点到源架方向一致。没有直接假设翻转 180°。A 自身到架中心仍约 19.7° 离轴，该朝向不证明全路径对齐。依据见</w:t>
      </w:r>
      <w:hyperlink r:id="rId18">
        <w:r>
          <w:rPr>
            <w:color w:val="185A82"/>
          </w:rPr>
          <w:t>朝向复核</w:t>
        </w:r>
      </w:hyperlink>
      <w:r>
        <w:t>。</w:t>
      </w:r>
    </w:p>
    <w:p>
      <w:r>
        <w:t xml:space="preserve">最终 </w:t>
      </w:r>
      <w:r>
        <w:t>static_final_01/trial_00</w:t>
      </w:r>
      <w:r>
        <w:t xml:space="preserve"> 使用</w:t>
      </w:r>
      <w:r>
        <w:rPr>
          <w:b/>
        </w:rPr>
        <w:t>源架 yaw −45°、仪器 yaw 135°、主相机 1.1 cm（11 mm）</w:t>
      </w:r>
      <w:r>
        <w:t>。实际静态检查通过单仪器、原 A/B 激活、无适配座、36 槽 / 50 架碰撞体、28 杯碰撞输入、朝向与复位检查；</w:t>
      </w:r>
      <w:r>
        <w:rPr>
          <w:b/>
        </w:rPr>
        <w:t>任务物理步数为 0</w:t>
      </w:r>
      <w:r>
        <w:t xml:space="preserve">。配置 SHA256 为 </w:t>
      </w:r>
      <w:r>
        <w:t>20c19a663b9bbb587595c25af44c75ef1296dd0376d411547be0358eb5d7d873</w:t>
      </w:r>
      <w:r>
        <w:t>。它证明最终场景组成，不是连续任务成功或真实相机校准。</w:t>
      </w:r>
    </w:p>
    <w:p>
      <w:pPr>
        <w:keepNext/>
        <w:jc w:val="center"/>
      </w:pPr>
      <w:r>
        <w:drawing>
          <wp:inline xmlns:a="http://schemas.openxmlformats.org/drawingml/2006/main" xmlns:pic="http://schemas.openxmlformats.org/drawingml/2006/picture">
            <wp:extent cx="6120000" cy="3442500"/>
            <wp:docPr id="2" name="Picture 2" descr="最终静态总览"/>
            <wp:cNvGraphicFramePr>
              <a:graphicFrameLocks noChangeAspect="1"/>
            </wp:cNvGraphicFramePr>
            <a:graphic>
              <a:graphicData uri="http://schemas.openxmlformats.org/drawingml/2006/picture">
                <pic:pic>
                  <pic:nvPicPr>
                    <pic:cNvPr id="0" name="final_static_overview.png"/>
                    <pic:cNvPicPr/>
                  </pic:nvPicPr>
                  <pic:blipFill>
                    <a:blip r:embed="rId19"/>
                    <a:stretch>
                      <a:fillRect/>
                    </a:stretch>
                  </pic:blipFill>
                  <pic:spPr>
                    <a:xfrm>
                      <a:off x="0" y="0"/>
                      <a:ext cx="6120000" cy="3442500"/>
                    </a:xfrm>
                    <a:prstGeom prst="rect"/>
                  </pic:spPr>
                </pic:pic>
              </a:graphicData>
            </a:graphic>
          </wp:inline>
        </w:drawing>
      </w:r>
    </w:p>
    <w:p>
      <w:pPr>
        <w:pStyle w:val="Caption"/>
      </w:pPr>
      <w:r>
        <w:t>图 2：最终配置实际零任务步预览，画面明确标注原座几何受阻。原始结果见</w:t>
      </w:r>
      <w:hyperlink r:id="rId20">
        <w:r>
          <w:rPr>
            <w:color w:val="185A82"/>
          </w:rPr>
          <w:t>静态检查</w:t>
        </w:r>
      </w:hyperlink>
      <w:r>
        <w:t xml:space="preserve">。早期 </w:t>
      </w:r>
      <w:r>
        <w:t>static_02</w:t>
      </w:r>
      <w:r>
        <w:t xml:space="preserve"> 的源架 yaw 为 135°、主相机 1.3 cm；其屏幕源槽位置和有收敛噪声的近景不作为最终配置图。</w:t>
      </w:r>
    </w:p>
    <w:p>
      <w:pPr>
        <w:pStyle w:val="Heading1"/>
      </w:pPr>
      <w:r>
        <w:t>50 µm 名义余量与实际控制</w:t>
      </w:r>
    </w:p>
    <w:p>
      <w:r>
        <w:t>理想 12.6 mm 刚性方孔与 12.5 mm 杯的单边余量只有 50 µm。以下是同一横向轴上共同占用余量的预先工程分配，不是实测达标值；当前原座不是全深度理想方孔，前提尚不满足。</w:t>
      </w:r>
    </w:p>
    <w:tbl>
      <w:tblPr>
        <w:tblW w:type="auto" w:w="0"/>
        <w:tblLayout w:type="fixed"/>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213"/>
        <w:gridCol w:w="3213"/>
        <w:gridCol w:w="3213"/>
      </w:tblGrid>
      <w:tr>
        <w:trPr>
          <w:cantSplit/>
          <w:tblHeader/>
        </w:trPr>
        <w:tc>
          <w:tcPr>
            <w:tcW w:type="dxa" w:w="2313"/>
            <w:shd w:fill="EFEFEF"/>
          </w:tcPr>
          <w:p>
            <w:pPr>
              <w:spacing w:after="80" w:before="60" w:line="252" w:lineRule="auto"/>
            </w:pPr>
            <w:r>
              <w:rPr>
                <w:b/>
                <w:sz w:val="18"/>
              </w:rPr>
              <w:t>分配项</w:t>
            </w:r>
          </w:p>
        </w:tc>
        <w:tc>
          <w:tcPr>
            <w:tcW w:type="dxa" w:w="3180"/>
            <w:shd w:fill="EFEFEF"/>
          </w:tcPr>
          <w:p>
            <w:pPr>
              <w:spacing w:after="80" w:before="60" w:line="252" w:lineRule="auto"/>
            </w:pPr>
            <w:r>
              <w:rPr>
                <w:b/>
                <w:sz w:val="18"/>
              </w:rPr>
              <w:t>候选值</w:t>
            </w:r>
          </w:p>
        </w:tc>
        <w:tc>
          <w:tcPr>
            <w:tcW w:type="dxa" w:w="4144"/>
            <w:shd w:fill="EFEFEF"/>
          </w:tcPr>
          <w:p>
            <w:pPr>
              <w:spacing w:after="80" w:before="60" w:line="252" w:lineRule="auto"/>
            </w:pPr>
            <w:r>
              <w:rPr>
                <w:b/>
                <w:sz w:val="18"/>
              </w:rPr>
              <w:t>单边占用</w:t>
            </w:r>
          </w:p>
        </w:tc>
      </w:tr>
      <w:tr>
        <w:trPr>
          <w:cantSplit/>
        </w:trPr>
        <w:tc>
          <w:tcPr>
            <w:tcW w:type="dxa" w:w="2313"/>
          </w:tcPr>
          <w:p>
            <w:pPr>
              <w:spacing w:after="80" w:before="60" w:line="252" w:lineRule="auto"/>
            </w:pPr>
            <w:r>
              <w:rPr>
                <w:sz w:val="18"/>
              </w:rPr>
              <w:t>入口处杯轴线的实际 XY 分量</w:t>
            </w:r>
          </w:p>
        </w:tc>
        <w:tc>
          <w:tcPr>
            <w:tcW w:type="dxa" w:w="3180"/>
          </w:tcPr>
          <w:p>
            <w:pPr>
              <w:spacing w:after="80" w:before="60" w:line="252" w:lineRule="auto"/>
            </w:pPr>
            <w:r>
              <w:rPr>
                <w:sz w:val="18"/>
              </w:rPr>
              <w:t>15 µm</w:t>
            </w:r>
          </w:p>
        </w:tc>
        <w:tc>
          <w:tcPr>
            <w:tcW w:type="dxa" w:w="4144"/>
          </w:tcPr>
          <w:p>
            <w:pPr>
              <w:spacing w:after="80" w:before="60" w:line="252" w:lineRule="auto"/>
            </w:pPr>
            <w:r>
              <w:rPr>
                <w:sz w:val="18"/>
              </w:rPr>
              <w:t>15.000 µm</w:t>
            </w:r>
          </w:p>
        </w:tc>
      </w:tr>
      <w:tr>
        <w:trPr>
          <w:cantSplit/>
        </w:trPr>
        <w:tc>
          <w:tcPr>
            <w:tcW w:type="dxa" w:w="2313"/>
          </w:tcPr>
          <w:p>
            <w:pPr>
              <w:spacing w:after="80" w:before="60" w:line="252" w:lineRule="auto"/>
            </w:pPr>
            <w:r>
              <w:rPr>
                <w:sz w:val="18"/>
              </w:rPr>
              <w:t>27 mm 段实际 tilt</w:t>
            </w:r>
          </w:p>
        </w:tc>
        <w:tc>
          <w:tcPr>
            <w:tcW w:type="dxa" w:w="3180"/>
          </w:tcPr>
          <w:p>
            <w:pPr>
              <w:spacing w:after="80" w:before="60" w:line="252" w:lineRule="auto"/>
            </w:pPr>
            <w:r>
              <w:rPr>
                <w:sz w:val="18"/>
              </w:rPr>
              <w:t>0.02°</w:t>
            </w:r>
          </w:p>
        </w:tc>
        <w:tc>
          <w:tcPr>
            <w:tcW w:type="dxa" w:w="4144"/>
          </w:tcPr>
          <w:p>
            <w:pPr>
              <w:spacing w:after="80" w:before="60" w:line="252" w:lineRule="auto"/>
            </w:pPr>
            <w:r>
              <w:rPr>
                <w:sz w:val="18"/>
              </w:rPr>
              <w:t>9.424778 µm</w:t>
            </w:r>
          </w:p>
        </w:tc>
      </w:tr>
      <w:tr>
        <w:trPr>
          <w:cantSplit/>
        </w:trPr>
        <w:tc>
          <w:tcPr>
            <w:tcW w:type="dxa" w:w="2313"/>
          </w:tcPr>
          <w:p>
            <w:pPr>
              <w:spacing w:after="80" w:before="60" w:line="252" w:lineRule="auto"/>
            </w:pPr>
            <w:r>
              <w:rPr>
                <w:sz w:val="18"/>
              </w:rPr>
              <w:t>实际 yaw 半包络增量</w:t>
            </w:r>
          </w:p>
        </w:tc>
        <w:tc>
          <w:tcPr>
            <w:tcW w:type="dxa" w:w="3180"/>
          </w:tcPr>
          <w:p>
            <w:pPr>
              <w:spacing w:after="80" w:before="60" w:line="252" w:lineRule="auto"/>
            </w:pPr>
            <w:r>
              <w:rPr>
                <w:sz w:val="18"/>
              </w:rPr>
              <w:t>0.1°</w:t>
            </w:r>
          </w:p>
        </w:tc>
        <w:tc>
          <w:tcPr>
            <w:tcW w:type="dxa" w:w="4144"/>
          </w:tcPr>
          <w:p>
            <w:pPr>
              <w:spacing w:after="80" w:before="60" w:line="252" w:lineRule="auto"/>
            </w:pPr>
            <w:r>
              <w:rPr>
                <w:sz w:val="18"/>
              </w:rPr>
              <w:t>10.898783 µm</w:t>
            </w:r>
          </w:p>
        </w:tc>
      </w:tr>
      <w:tr>
        <w:trPr>
          <w:cantSplit/>
        </w:trPr>
        <w:tc>
          <w:tcPr>
            <w:tcW w:type="dxa" w:w="2313"/>
          </w:tcPr>
          <w:p>
            <w:pPr>
              <w:spacing w:after="80" w:before="60" w:line="252" w:lineRule="auto"/>
            </w:pPr>
            <w:r>
              <w:rPr>
                <w:sz w:val="18"/>
              </w:rPr>
              <w:t>合计 / 名义剩余</w:t>
            </w:r>
          </w:p>
        </w:tc>
        <w:tc>
          <w:tcPr>
            <w:tcW w:type="dxa" w:w="3180"/>
          </w:tcPr>
          <w:p>
            <w:pPr>
              <w:spacing w:after="80" w:before="60" w:line="252" w:lineRule="auto"/>
            </w:pPr>
            <w:r>
              <w:rPr>
                <w:sz w:val="18"/>
              </w:rPr>
              <w:t>—</w:t>
            </w:r>
          </w:p>
        </w:tc>
        <w:tc>
          <w:tcPr>
            <w:tcW w:type="dxa" w:w="4144"/>
          </w:tcPr>
          <w:p>
            <w:pPr>
              <w:spacing w:after="80" w:before="60" w:line="252" w:lineRule="auto"/>
            </w:pPr>
            <w:r>
              <w:rPr>
                <w:sz w:val="18"/>
              </w:rPr>
              <w:t>35.323561 / 14.676439 µm</w:t>
            </w:r>
          </w:p>
        </w:tc>
      </w:tr>
    </w:tbl>
    <w:p>
      <w:r>
        <w:t>剩余须覆盖尺寸公差、几何表示/烹饪、实际跟踪和抖动、坐标估计等，当前缺少完整实测上界，</w:t>
      </w:r>
      <w:r>
        <w:rPr>
          <w:b/>
        </w:rPr>
        <w:t>预算没有闭合</w:t>
      </w:r>
      <w:r>
        <w:t>。15 µm 指入口处实际杯轴线误差，不能拿名义注入量、TCP 目标或 IK 残差替代。抓取点距杯底 53 mm：若误将 XY 分配放在 TCP，0.02° 杠杆横移约 18.500491 µm，同样分配仅余 5.600726 µm；27 mm 与 53 mm 对应不同参考点，不能机械相加。</w:t>
      </w:r>
    </w:p>
    <w:p>
      <w:r/>
      <w:r>
        <w:t>contact_offset=50 µm</w:t>
      </w:r>
      <w:r>
        <w:t xml:space="preserve"> 是接触生成参数，不是定位精度；</w:t>
      </w:r>
      <w:r>
        <w:t>rest_offset=0</w:t>
      </w:r>
      <w:r>
        <w:t xml:space="preserve"> 保持。原座约 0.58 mm 的材料相交不能用这份预算放行。质量、摩擦、机器人动力学仍未真实校准。完整推导见</w:t>
      </w:r>
      <w:hyperlink r:id="rId21">
        <w:r>
          <w:rPr>
            <w:color w:val="185A82"/>
          </w:rPr>
          <w:t>budget.md</w:t>
        </w:r>
      </w:hyperlink>
      <w:r>
        <w:t>。</w:t>
      </w:r>
    </w:p>
    <w:p>
      <w:pPr>
        <w:pStyle w:val="Heading1"/>
      </w:pPr>
      <w:r>
        <w:t>三次真实受限诊断</w:t>
      </w:r>
    </w:p>
    <w:p>
      <w:r/>
      <w:r>
        <w:t>diagnostic_01/run/trial_00</w:t>
      </w:r>
      <w:r>
        <w:t xml:space="preserve"> 实际采用 CPU PhysX / TGS、240 Hz 物理、60 Hz 控制，每控制周期 4 个显式子步。示教器使用物体真值状态，因此不构成视觉策略性能验证。</w:t>
      </w:r>
    </w:p>
    <w:tbl>
      <w:tblPr>
        <w:tblW w:type="auto" w:w="0"/>
        <w:tblLayout w:type="fixed"/>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4819"/>
        <w:gridCol w:w="4819"/>
      </w:tblGrid>
      <w:tr>
        <w:trPr>
          <w:cantSplit/>
          <w:tblHeader/>
        </w:trPr>
        <w:tc>
          <w:tcPr>
            <w:tcW w:type="dxa" w:w="4819"/>
            <w:shd w:fill="EFEFEF"/>
          </w:tcPr>
          <w:p>
            <w:pPr>
              <w:spacing w:after="80" w:before="60" w:line="252" w:lineRule="auto"/>
            </w:pPr>
            <w:r>
              <w:rPr>
                <w:b/>
                <w:sz w:val="18"/>
              </w:rPr>
              <w:t>项目</w:t>
            </w:r>
          </w:p>
        </w:tc>
        <w:tc>
          <w:tcPr>
            <w:tcW w:type="dxa" w:w="4819"/>
            <w:shd w:fill="EFEFEF"/>
          </w:tcPr>
          <w:p>
            <w:pPr>
              <w:spacing w:after="80" w:before="60" w:line="252" w:lineRule="auto"/>
            </w:pPr>
            <w:r>
              <w:rPr>
                <w:b/>
                <w:sz w:val="18"/>
              </w:rPr>
              <w:t>首次真实记录</w:t>
            </w:r>
          </w:p>
        </w:tc>
      </w:tr>
      <w:tr>
        <w:trPr>
          <w:cantSplit/>
        </w:trPr>
        <w:tc>
          <w:tcPr>
            <w:tcW w:type="dxa" w:w="4819"/>
          </w:tcPr>
          <w:p>
            <w:pPr>
              <w:spacing w:after="80" w:before="60" w:line="252" w:lineRule="auto"/>
            </w:pPr>
            <w:r>
              <w:rPr>
                <w:sz w:val="18"/>
              </w:rPr>
              <w:t>终止原因</w:t>
            </w:r>
          </w:p>
        </w:tc>
        <w:tc>
          <w:tcPr>
            <w:tcW w:type="dxa" w:w="4819"/>
          </w:tcPr>
          <w:p>
            <w:pPr>
              <w:spacing w:after="80" w:before="60" w:line="252" w:lineRule="auto"/>
            </w:pPr>
            <w:r>
              <w:rPr>
                <w:sz w:val="18"/>
              </w:rPr>
            </w:r>
            <w:r>
              <w:rPr>
                <w:sz w:val="18"/>
              </w:rPr>
              <w:t>GRASP_SLIP_DURING_TRANSPORT</w:t>
            </w:r>
            <w:r>
              <w:rPr>
                <w:sz w:val="18"/>
              </w:rPr>
            </w:r>
          </w:p>
        </w:tc>
      </w:tr>
      <w:tr>
        <w:trPr>
          <w:cantSplit/>
        </w:trPr>
        <w:tc>
          <w:tcPr>
            <w:tcW w:type="dxa" w:w="4819"/>
          </w:tcPr>
          <w:p>
            <w:pPr>
              <w:spacing w:after="80" w:before="60" w:line="252" w:lineRule="auto"/>
            </w:pPr>
            <w:r>
              <w:rPr>
                <w:sz w:val="18"/>
              </w:rPr>
              <w:t>仿真 / 完整进程时间</w:t>
            </w:r>
          </w:p>
        </w:tc>
        <w:tc>
          <w:tcPr>
            <w:tcW w:type="dxa" w:w="4819"/>
          </w:tcPr>
          <w:p>
            <w:pPr>
              <w:spacing w:after="80" w:before="60" w:line="252" w:lineRule="auto"/>
            </w:pPr>
            <w:r>
              <w:rPr>
                <w:sz w:val="18"/>
              </w:rPr>
              <w:t>29.5 s / 105.225806 s；执行器内部计时另为 85.507558 s</w:t>
            </w:r>
          </w:p>
        </w:tc>
      </w:tr>
      <w:tr>
        <w:trPr>
          <w:cantSplit/>
        </w:trPr>
        <w:tc>
          <w:tcPr>
            <w:tcW w:type="dxa" w:w="4819"/>
          </w:tcPr>
          <w:p>
            <w:pPr>
              <w:spacing w:after="80" w:before="60" w:line="252" w:lineRule="auto"/>
            </w:pPr>
            <w:r>
              <w:rPr>
                <w:sz w:val="18"/>
              </w:rPr>
              <w:t>数据量</w:t>
            </w:r>
          </w:p>
        </w:tc>
        <w:tc>
          <w:tcPr>
            <w:tcW w:type="dxa" w:w="4819"/>
          </w:tcPr>
          <w:p>
            <w:pPr>
              <w:spacing w:after="80" w:before="60" w:line="252" w:lineRule="auto"/>
            </w:pPr>
            <w:r>
              <w:rPr>
                <w:sz w:val="18"/>
              </w:rPr>
              <w:t>1770 个完整控制转换；7080 任务物理步，含初态共 7081 条物理记录</w:t>
            </w:r>
          </w:p>
        </w:tc>
      </w:tr>
      <w:tr>
        <w:trPr>
          <w:cantSplit/>
        </w:trPr>
        <w:tc>
          <w:tcPr>
            <w:tcW w:type="dxa" w:w="4819"/>
          </w:tcPr>
          <w:p>
            <w:pPr>
              <w:spacing w:after="80" w:before="60" w:line="252" w:lineRule="auto"/>
            </w:pPr>
            <w:r>
              <w:rPr>
                <w:sz w:val="18"/>
              </w:rPr>
              <w:t>实际阶段</w:t>
            </w:r>
          </w:p>
        </w:tc>
        <w:tc>
          <w:tcPr>
            <w:tcW w:type="dxa" w:w="4819"/>
          </w:tcPr>
          <w:p>
            <w:pPr>
              <w:spacing w:after="80" w:before="60" w:line="252" w:lineRule="auto"/>
            </w:pPr>
            <w:r>
              <w:rPr>
                <w:sz w:val="18"/>
              </w:rPr>
              <w:t>RESET → APPROACH_SOURCE → GRASP → EXTRACT → TRANSPORT</w:t>
            </w:r>
          </w:p>
        </w:tc>
      </w:tr>
      <w:tr>
        <w:trPr>
          <w:cantSplit/>
        </w:trPr>
        <w:tc>
          <w:tcPr>
            <w:tcW w:type="dxa" w:w="4819"/>
          </w:tcPr>
          <w:p>
            <w:pPr>
              <w:spacing w:after="80" w:before="60" w:line="252" w:lineRule="auto"/>
            </w:pPr>
            <w:r>
              <w:rPr>
                <w:sz w:val="18"/>
              </w:rPr>
              <w:t>已通过的子条件</w:t>
            </w:r>
          </w:p>
        </w:tc>
        <w:tc>
          <w:tcPr>
            <w:tcW w:type="dxa" w:w="4819"/>
          </w:tcPr>
          <w:p>
            <w:pPr>
              <w:spacing w:after="80" w:before="60" w:line="252" w:lineRule="auto"/>
            </w:pPr>
            <w:r>
              <w:rPr>
                <w:sz w:val="18"/>
              </w:rPr>
              <w:t>初始支撑、实际双指接触、实际离架；已到目标区域</w:t>
            </w:r>
          </w:p>
        </w:tc>
      </w:tr>
      <w:tr>
        <w:trPr>
          <w:cantSplit/>
        </w:trPr>
        <w:tc>
          <w:tcPr>
            <w:tcW w:type="dxa" w:w="4819"/>
          </w:tcPr>
          <w:p>
            <w:pPr>
              <w:spacing w:after="80" w:before="60" w:line="252" w:lineRule="auto"/>
            </w:pPr>
            <w:r>
              <w:rPr>
                <w:sz w:val="18"/>
              </w:rPr>
              <w:t>未完成</w:t>
            </w:r>
          </w:p>
        </w:tc>
        <w:tc>
          <w:tcPr>
            <w:tcW w:type="dxa" w:w="4819"/>
          </w:tcPr>
          <w:p>
            <w:pPr>
              <w:spacing w:after="80" w:before="60" w:line="252" w:lineRule="auto"/>
            </w:pPr>
            <w:r>
              <w:rPr>
                <w:sz w:val="18"/>
              </w:rPr>
              <w:t>搬运滑移关口、受控座口上方停止与上抬；没有 INSERT / SUPPORT_TRANSFER / OPEN / RETREAT / VERIFY</w:t>
            </w:r>
          </w:p>
        </w:tc>
      </w:tr>
      <w:tr>
        <w:trPr>
          <w:cantSplit/>
        </w:trPr>
        <w:tc>
          <w:tcPr>
            <w:tcW w:type="dxa" w:w="4819"/>
          </w:tcPr>
          <w:p>
            <w:pPr>
              <w:spacing w:after="80" w:before="60" w:line="252" w:lineRule="auto"/>
            </w:pPr>
            <w:r>
              <w:rPr>
                <w:sz w:val="18"/>
              </w:rPr>
              <w:t>独立判分</w:t>
            </w:r>
          </w:p>
        </w:tc>
        <w:tc>
          <w:tcPr>
            <w:tcW w:type="dxa" w:w="4819"/>
          </w:tcPr>
          <w:p>
            <w:pPr>
              <w:spacing w:after="80" w:before="60" w:line="252" w:lineRule="auto"/>
            </w:pPr>
            <w:r>
              <w:rPr>
                <w:sz w:val="18"/>
              </w:rPr>
              <w:t>workflow / native_pair / data_eligible 均 false；diagnostic_subtask_completed=false</w:t>
            </w:r>
          </w:p>
        </w:tc>
      </w:tr>
      <w:tr>
        <w:trPr>
          <w:cantSplit/>
        </w:trPr>
        <w:tc>
          <w:tcPr>
            <w:tcW w:type="dxa" w:w="4819"/>
          </w:tcPr>
          <w:p>
            <w:pPr>
              <w:spacing w:after="80" w:before="60" w:line="252" w:lineRule="auto"/>
            </w:pPr>
            <w:r>
              <w:rPr>
                <w:sz w:val="18"/>
              </w:rPr>
              <w:t>撤离后稳定</w:t>
            </w:r>
          </w:p>
        </w:tc>
        <w:tc>
          <w:tcPr>
            <w:tcW w:type="dxa" w:w="4819"/>
          </w:tcPr>
          <w:p>
            <w:pPr>
              <w:spacing w:after="80" w:before="60" w:line="252" w:lineRule="auto"/>
            </w:pPr>
            <w:r>
              <w:rPr>
                <w:sz w:val="18"/>
              </w:rPr>
              <w:t>窗口 unavailable，stable_after_retreat=null；不能按稳定或不稳定装载分类</w:t>
            </w:r>
          </w:p>
        </w:tc>
      </w:tr>
    </w:tbl>
    <w:p>
      <w:r>
        <w:t>末态器皿</w:t>
      </w:r>
      <w:r>
        <w:rPr>
          <w:b/>
        </w:rPr>
        <w:t>刚体原点</w:t>
      </w:r>
      <w:r>
        <w:t xml:space="preserve">为 </w:t>
      </w:r>
      <w:r>
        <w:t>[0.364128530, −0.033040866, 0.973499417] m</w:t>
      </w:r>
      <w:r>
        <w:t xml:space="preserve">；声明目标承托点为 </w:t>
      </w:r>
      <w:r>
        <w:t>[0.361616575, −0.030396009, 0.887] m</w:t>
      </w:r>
      <w:r>
        <w:t xml:space="preserve">。仪器局部 XY 偏差为 </w:t>
      </w:r>
      <w:r>
        <w:t>[−3.646417, +0.093976] mm</w:t>
      </w:r>
      <w:r>
        <w:t xml:space="preserve">，tilt 为 3.595356°。两指接触力约 7.99962 / 8.00126 N，但从 GRASP→EXTRACT 实际事件（t=13.5 s）到末态的手内相对位置已漂移 </w:t>
      </w:r>
      <w:r>
        <w:rPr>
          <w:b/>
        </w:rPr>
        <w:t>3.758946 mm</w:t>
      </w:r>
      <w:r>
        <w:t>。仍有双指接触不等于没有滑移，也没有达到插入预算。数值见</w:t>
      </w:r>
      <w:hyperlink r:id="rId22">
        <w:r>
          <w:rPr>
            <w:color w:val="185A82"/>
          </w:rPr>
          <w:t>末态与手内漂移记录</w:t>
        </w:r>
      </w:hyperlink>
      <w:r>
        <w:t>。</w:t>
      </w:r>
    </w:p>
    <w:p>
      <w:r>
        <w:t>独立检查记录没有禁止的机器人环境接触，且显式子步连续；原座穿透测量仍 unavailable，原生速度与位姿差分的不一致保留为质量标记。末态前三秒仍在搬运，窗口位移不能解释为松爪后的稳定性。原始失败和未知值均保留，不补造后续阶段。依据见</w:t>
      </w:r>
      <w:hyperlink r:id="rId23">
        <w:r>
          <w:rPr>
            <w:color w:val="185A82"/>
          </w:rPr>
          <w:t>实际结果</w:t>
        </w:r>
      </w:hyperlink>
      <w:r>
        <w:t>、</w:t>
      </w:r>
      <w:hyperlink r:id="rId24">
        <w:r>
          <w:rPr>
            <w:color w:val="185A82"/>
          </w:rPr>
          <w:t>独立判分</w:t>
        </w:r>
      </w:hyperlink>
      <w:r>
        <w:t>、</w:t>
      </w:r>
      <w:hyperlink r:id="rId25">
        <w:r>
          <w:rPr>
            <w:color w:val="185A82"/>
          </w:rPr>
          <w:t>运行参数</w:t>
        </w:r>
      </w:hyperlink>
      <w:r>
        <w:t>及</w:t>
      </w:r>
      <w:hyperlink r:id="rId26">
        <w:r>
          <w:rPr>
            <w:color w:val="185A82"/>
          </w:rPr>
          <w:t>完整进程计时</w:t>
        </w:r>
      </w:hyperlink>
      <w:r>
        <w:t>。</w:t>
      </w:r>
    </w:p>
    <w:tbl>
      <w:tblPr>
        <w:tblW w:type="auto" w:w="0"/>
        <w:tblLayout w:type="fixed"/>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4819"/>
        <w:gridCol w:w="4819"/>
      </w:tblGrid>
      <w:tr>
        <w:trPr>
          <w:cantSplit/>
          <w:tblHeader/>
        </w:trPr>
        <w:tc>
          <w:tcPr>
            <w:tcW w:type="dxa" w:w="4819"/>
            <w:shd w:fill="EFEFEF"/>
          </w:tcPr>
          <w:p>
            <w:pPr>
              <w:spacing w:after="80" w:before="60" w:line="252" w:lineRule="auto"/>
            </w:pPr>
            <w:r>
              <w:rPr>
                <w:b/>
                <w:sz w:val="18"/>
              </w:rPr>
              <w:t>补充受限诊断</w:t>
            </w:r>
          </w:p>
        </w:tc>
        <w:tc>
          <w:tcPr>
            <w:tcW w:type="dxa" w:w="4819"/>
            <w:shd w:fill="EFEFEF"/>
          </w:tcPr>
          <w:p>
            <w:pPr>
              <w:spacing w:after="80" w:before="60" w:line="252" w:lineRule="auto"/>
            </w:pPr>
            <w:r>
              <w:rPr>
                <w:b/>
                <w:sz w:val="18"/>
              </w:rPr>
              <w:t>变更与实际结果</w:t>
            </w:r>
          </w:p>
        </w:tc>
      </w:tr>
      <w:tr>
        <w:trPr>
          <w:cantSplit/>
        </w:trPr>
        <w:tc>
          <w:tcPr>
            <w:tcW w:type="dxa" w:w="4819"/>
          </w:tcPr>
          <w:p>
            <w:pPr>
              <w:spacing w:after="80" w:before="60" w:line="252" w:lineRule="auto"/>
            </w:pPr>
            <w:r>
              <w:rPr>
                <w:sz w:val="18"/>
              </w:rPr>
            </w:r>
            <w:hyperlink r:id="rId27">
              <w:r>
                <w:rPr>
                  <w:color w:val="185A82"/>
                </w:rPr>
                <w:t>diagnostic_02</w:t>
              </w:r>
            </w:hyperlink>
            <w:r>
              <w:rPr>
                <w:sz w:val="18"/>
              </w:rPr>
            </w:r>
          </w:p>
        </w:tc>
        <w:tc>
          <w:tcPr>
            <w:tcW w:type="dxa" w:w="4819"/>
          </w:tcPr>
          <w:p>
            <w:pPr>
              <w:spacing w:after="80" w:before="60" w:line="252" w:lineRule="auto"/>
            </w:pPr>
            <w:r>
              <w:rPr>
                <w:sz w:val="18"/>
              </w:rPr>
              <w:t xml:space="preserve">仅将搬运用时 8→16 s；37.5 s 时以 </w:t>
            </w:r>
            <w:r>
              <w:rPr>
                <w:sz w:val="18"/>
              </w:rPr>
              <w:t>HELD_POSE_DEVIATION_AFTER_TRANSPORT</w:t>
            </w:r>
            <w:r>
              <w:rPr>
                <w:sz w:val="18"/>
              </w:rPr>
              <w:t xml:space="preserve"> 停止。2250 转换、9000 任务物理步 / 9001 记录；完整进程 132.179511 s、内部 108.726389 s。</w:t>
            </w:r>
            <w:hyperlink r:id="rId28">
              <w:r>
                <w:rPr>
                  <w:color w:val="185A82"/>
                </w:rPr>
                <w:t>末态</w:t>
              </w:r>
            </w:hyperlink>
            <w:r>
              <w:rPr>
                <w:sz w:val="18"/>
              </w:rPr>
              <w:t xml:space="preserve">局部 XY </w:t>
            </w:r>
            <w:r>
              <w:rPr>
                <w:sz w:val="18"/>
              </w:rPr>
              <w:t>[−3.416480, +0.102169] mm</w:t>
            </w:r>
            <w:r>
              <w:rPr>
                <w:sz w:val="18"/>
              </w:rPr>
              <w:t>，仍未通过原 3 mm 阶段关口；没有对准、插入、松爪或撤离。</w:t>
            </w:r>
          </w:p>
        </w:tc>
      </w:tr>
      <w:tr>
        <w:trPr>
          <w:cantSplit/>
        </w:trPr>
        <w:tc>
          <w:tcPr>
            <w:tcW w:type="dxa" w:w="4819"/>
          </w:tcPr>
          <w:p>
            <w:pPr>
              <w:spacing w:after="80" w:before="60" w:line="252" w:lineRule="auto"/>
            </w:pPr>
            <w:r>
              <w:rPr>
                <w:sz w:val="18"/>
              </w:rPr>
            </w:r>
            <w:hyperlink r:id="rId29">
              <w:r>
                <w:rPr>
                  <w:color w:val="185A82"/>
                </w:rPr>
                <w:t>diagnostic_03</w:t>
              </w:r>
            </w:hyperlink>
            <w:r>
              <w:rPr>
                <w:sz w:val="18"/>
              </w:rPr>
            </w:r>
          </w:p>
        </w:tc>
        <w:tc>
          <w:tcPr>
            <w:tcW w:type="dxa" w:w="4819"/>
          </w:tcPr>
          <w:p>
            <w:pPr>
              <w:spacing w:after="80" w:before="60" w:line="252" w:lineRule="auto"/>
            </w:pPr>
            <w:r>
              <w:rPr>
                <w:sz w:val="18"/>
              </w:rPr>
              <w:t xml:space="preserve">保持 16 s 搬运，只在末 1 s 加入有界物体真值 XY 反馈，3 mm 阶段关口不变。76.916667 s 以 </w:t>
            </w:r>
            <w:r>
              <w:rPr>
                <w:sz w:val="18"/>
              </w:rPr>
              <w:t>GEOMETRY_BLOCKED_PREINSERT</w:t>
            </w:r>
            <w:r>
              <w:rPr>
                <w:sz w:val="18"/>
              </w:rPr>
              <w:t xml:space="preserve"> 结束；4615 转换、18460 任务物理步 / 18461 记录，完整进程 265.300017 s、内部 222.501345 s。十项受限诊断检查均 true，diagnostic_subtask_completed=true；workflow / native_pair / data_eligible 仍 false。</w:t>
            </w:r>
          </w:p>
        </w:tc>
      </w:tr>
    </w:tbl>
    <w:p>
      <w:r>
        <w:t xml:space="preserve">第三次实际进入 ALIGN，并在 t=73.416667 s 以最低杯底 Z=0.915019 m 停在原座口上方约 1.019 mm；随后进入 GATE_RETRACT，上抬约 10.015 mm，于 t=75.916667 s 进入 DIAGNOSTIC_HOLD，保持至结束。末态最低杯底 Z=0.925035 m，刚体原点的局部 XY 约 </w:t>
      </w:r>
      <w:r>
        <w:t>[14.24, 27.69] µm</w:t>
      </w:r>
      <w:r>
        <w:t>，tilt=3.357221°。末段真值反馈帮助通过搬运阶段位置关口，但不等于达到插入预算；这些 XY 读数仍须换算到入口平面，倾角也远大于候选 0.02°。</w:t>
      </w:r>
    </w:p>
    <w:p>
      <w:r>
        <w:t>该上抬是持物状态下的受限诊断动作，没有 INSERT / SUPPORT_TRANSFER / OPEN / RETREAT / VERIFY。原座穿透仍为 null，撤离后窗口 unavailable、stable_after_retreat=null；末三秒包含上抬，不能当作松爪后的稳定窗口。它不改变原座几何受阻、完整任务未执行的结论。详见</w:t>
      </w:r>
      <w:hyperlink r:id="rId30">
        <w:r>
          <w:rPr>
            <w:color w:val="185A82"/>
          </w:rPr>
          <w:t>末态与停止事件</w:t>
        </w:r>
      </w:hyperlink>
      <w:r>
        <w:t>及</w:t>
      </w:r>
      <w:hyperlink r:id="rId31">
        <w:r>
          <w:rPr>
            <w:color w:val="185A82"/>
          </w:rPr>
          <w:t>控制转换记录</w:t>
        </w:r>
      </w:hyperlink>
      <w:r>
        <w:t>。</w:t>
      </w:r>
    </w:p>
    <w:p>
      <w:r>
        <w:t>固定 5 次和随机 10 次只有在原配几何有效且至少一次完整任务独立判分成功后才能启动。配置中 A1/A2/B1/B2/C1 及整架/整仪器各 ±1 mm 平移仅是后续随机化范围，未执行，不是实际误差或成功率。</w:t>
      </w:r>
    </w:p>
    <w:p>
      <w:pPr>
        <w:pStyle w:val="Heading1"/>
      </w:pPr>
      <w:r>
        <w:t>自含诊断数据与录像</w:t>
      </w:r>
    </w:p>
    <w:p>
      <w:r>
        <w:t xml:space="preserve">两份真实诊断均已导出完整自含 </w:t>
      </w:r>
      <w:r>
        <w:t>episode_data.hdf5</w:t>
      </w:r>
      <w:r>
        <w:t xml:space="preserve">。01 为 </w:t>
      </w:r>
      <w:r>
        <w:rPr>
          <w:b/>
        </w:rPr>
        <w:t>1770 转换、314,819,825 字节</w:t>
      </w:r>
      <w:r>
        <w:t xml:space="preserve">，SHA256 </w:t>
      </w:r>
      <w:r>
        <w:t>8206d3d9f89c85dff71b198a7916a04fde2960bbf701debf460a6f8bcf3af8dc</w:t>
      </w:r>
      <w:r>
        <w:t xml:space="preserve">；03 为 </w:t>
      </w:r>
      <w:r>
        <w:rPr>
          <w:b/>
        </w:rPr>
        <w:t>4615 转换、885,164,015 字节</w:t>
      </w:r>
      <w:r>
        <w:t xml:space="preserve">，SHA256 </w:t>
      </w:r>
      <w:r>
        <w:t>65c32000917083544db3f881054dbf4706a606fcc368002332caf7ccf564e6b0</w:t>
      </w:r>
      <w:r>
        <w:t>。各自 52 个源数据集的形状、类型及完整逻辑值核验通过，原 H5 不变，无外链、软链、虚拟数据集或外部存储，原属性与完整任务 false 标签保留。详见</w:t>
      </w:r>
      <w:hyperlink r:id="rId32">
        <w:r>
          <w:rPr>
            <w:color w:val="185A82"/>
          </w:rPr>
          <w:t>01 导出审计</w:t>
        </w:r>
      </w:hyperlink>
      <w:r>
        <w:t>、</w:t>
      </w:r>
      <w:hyperlink r:id="rId33">
        <w:r>
          <w:rPr>
            <w:color w:val="185A82"/>
          </w:rPr>
          <w:t>01 独立复核</w:t>
        </w:r>
      </w:hyperlink>
      <w:r>
        <w:t>、</w:t>
      </w:r>
      <w:hyperlink r:id="rId34">
        <w:r>
          <w:rPr>
            <w:color w:val="185A82"/>
          </w:rPr>
          <w:t>03 导出审计</w:t>
        </w:r>
      </w:hyperlink>
      <w:r>
        <w:t>及</w:t>
      </w:r>
      <w:hyperlink r:id="rId35">
        <w:r>
          <w:rPr>
            <w:color w:val="185A82"/>
          </w:rPr>
          <w:t>03 独立复核</w:t>
        </w:r>
      </w:hyperlink>
      <w:r>
        <w:t>。</w:t>
      </w:r>
    </w:p>
    <w:p>
      <w:r>
        <w:t xml:space="preserve">RGB 每路单帧为 </w:t>
      </w:r>
      <w:r>
        <w:t>3 × 256 × 256</w:t>
      </w:r>
      <w:r>
        <w:t>，01/03 各有 1770/4615 帧；动作/状态为 8 维，完整九维位置命令、每周期 effort 上限及原始指位目标另外保存，并与后继时间端点对齐；未知值用 NaN/false。</w:t>
      </w:r>
      <w:r>
        <w:t>agent_pose</w:t>
      </w:r>
      <w:r>
        <w:t xml:space="preserve"> 第八维为左指实测位置，</w:t>
      </w:r>
      <w:r>
        <w:t>actions</w:t>
      </w:r>
      <w:r>
        <w:t xml:space="preserve"> 第八维为左指命令，八维位置目标不含 effort 上限。</w:t>
      </w:r>
    </w:p>
    <w:p>
      <w:r>
        <w:t xml:space="preserve">正常 </w:t>
      </w:r>
      <w:r>
        <w:t>MinimalPickDataset</w:t>
      </w:r>
      <w:r>
        <w:t xml:space="preserve"> 构造器明确拒绝两份完整任务未成功的 episode。诊断读取保持原 false 标签，仅复用现有 </w:t>
      </w:r>
      <w:r>
        <w:t>__getitem__</w:t>
      </w:r>
      <w:r>
        <w:t xml:space="preserve"> 与 </w:t>
      </w:r>
      <w:r>
        <w:t>collate_fn</w:t>
      </w:r>
      <w:r>
        <w:t xml:space="preserve">；在起点、中点、末段和最后单步核对动作、状态、RGB 和 padding，通过 </w:t>
      </w:r>
      <w:r>
        <w:t>[1,16,8]</w:t>
      </w:r>
      <w:r>
        <w:t xml:space="preserve"> 动作 batch 读取。它们没有进入学习成功索引，没有训练、推理或物理回放；</w:t>
      </w:r>
      <w:r>
        <w:t>read_batch.npz</w:t>
      </w:r>
      <w:r>
        <w:t xml:space="preserve"> 只是样本，不替代完整 H5。</w:t>
      </w:r>
    </w:p>
    <w:p>
      <w:r>
        <w:t>首次诊断的</w:t>
      </w:r>
      <w:hyperlink r:id="rId36">
        <w:r>
          <w:rPr>
            <w:color w:val="185A82"/>
          </w:rPr>
          <w:t>主视角录像</w:t>
        </w:r>
      </w:hyperlink>
      <w:r>
        <w:t>与</w:t>
      </w:r>
      <w:hyperlink r:id="rId37">
        <w:r>
          <w:rPr>
            <w:color w:val="185A82"/>
          </w:rPr>
          <w:t>近景录像</w:t>
        </w:r>
      </w:hyperlink>
      <w:r>
        <w:t>来自同一次连续运行，已转为 H.264/yuv420p 并完整 CPU 解码通过；主录像 1920×1080、30 fps、29.534 s，另有原录像 20.5 s 起的末段剪辑，没有混拼其他尝试。</w:t>
      </w:r>
      <w:hyperlink r:id="rId38">
        <w:r>
          <w:rPr>
            <w:color w:val="185A82"/>
          </w:rPr>
          <w:t>媒体清单</w:t>
        </w:r>
      </w:hyperlink>
      <w:r>
        <w:t>绑定源文件与转码 SHA。第二次的</w:t>
      </w:r>
      <w:hyperlink r:id="rId39">
        <w:r>
          <w:rPr>
            <w:color w:val="185A82"/>
          </w:rPr>
          <w:t>末 5 秒片段</w:t>
        </w:r>
      </w:hyperlink>
      <w:r>
        <w:t xml:space="preserve">来自其原录像 32.5 s 至结束，也通过完整解码。叠字“target base Fz”实际表示整个目标座网格的合力 Z 分量，未隔离底面支撑，不能用来证明触底。DOCX 仍采用包内 </w:t>
      </w:r>
      <w:r>
        <w:t>media/</w:t>
      </w:r>
      <w:r>
        <w:t xml:space="preserve"> 相对链接，不内嵌 MP4，转发时须保留完整阅读包。</w:t>
      </w:r>
    </w:p>
    <w:p>
      <w:r>
        <w:t>第三次的</w:t>
      </w:r>
      <w:hyperlink r:id="rId40">
        <w:r>
          <w:rPr>
            <w:color w:val="185A82"/>
          </w:rPr>
          <w:t>完整主录像</w:t>
        </w:r>
      </w:hyperlink>
      <w:r>
        <w:t>及</w:t>
      </w:r>
      <w:hyperlink r:id="rId41">
        <w:r>
          <w:rPr>
            <w:color w:val="185A82"/>
          </w:rPr>
          <w:t>对准、上抬与保持片段</w:t>
        </w:r>
      </w:hyperlink>
      <w:r>
        <w:t>已完整 CPU 解码通过。原生高分辨率近景被手爪遮挡；实际 H5 的</w:t>
      </w:r>
      <w:hyperlink r:id="rId42">
        <w:r>
          <w:rPr>
            <w:color w:val="185A82"/>
          </w:rPr>
          <w:t>第二观测视角片段</w:t>
        </w:r>
      </w:hyperlink>
      <w:r>
        <w:t>可看到杯、手指和座口，源分辨率 256×256，显示仅逆时针旋转 90°并近邻放大 2 倍，没有新仿真或补帧。它不能量化 50 µm 间隙，几何停止高度仍依据实际顶点记录。来源、转码与显示处理见</w:t>
      </w:r>
      <w:hyperlink r:id="rId43">
        <w:r>
          <w:rPr>
            <w:color w:val="185A82"/>
          </w:rPr>
          <w:t>第三次媒体清单</w:t>
        </w:r>
      </w:hyperlink>
      <w:r>
        <w:t>。</w:t>
      </w:r>
    </w:p>
    <w:p>
      <w:r>
        <w:t xml:space="preserve">旧 V0_demo03 阅读包的 6 个 MP4 均存在、可识别且完整 CPU 解码通过，SHA 与旧 manifest 一致。旧 DOCX 使用指向相邻 </w:t>
      </w:r>
      <w:r>
        <w:t>media/</w:t>
      </w:r>
      <w:r>
        <w:t xml:space="preserve"> 的</w:t>
      </w:r>
      <w:r>
        <w:rPr>
          <w:b/>
        </w:rPr>
        <w:t>外部相对链接，没有内嵌视频</w:t>
      </w:r>
      <w:r>
        <w:t>；单独复制 DOCX 不携带这些文件，需传递整个阅读包或直接打开 MP4。具体阅读器点击失败的原因仍未知，旧包未修改，旧录像不计入本轮新结果。依据见</w:t>
      </w:r>
      <w:hyperlink r:id="rId44">
        <w:r>
          <w:rPr>
            <w:color w:val="185A82"/>
          </w:rPr>
          <w:t>旧包媒体审计</w:t>
        </w:r>
      </w:hyperlink>
      <w:r>
        <w:t>。</w:t>
      </w:r>
    </w:p>
    <w:p>
      <w:pPr>
        <w:pStyle w:val="Heading1"/>
      </w:pPr>
      <w:r>
        <w:t>旧版本保护与下一项有效证据</w:t>
      </w:r>
    </w:p>
    <w:p>
      <w:r>
        <w:t>2026-10-20 15:01:27（+08:00）的只读保护核查以既有清单重读 6067 文件，均一致；这证明相对既有基准的累计一致性，不是本轮开工新快照。V0_demo02 按历史提交核对 108 受管文件（普通 Git 64、实际 LFS 44），V0_demo03 核对 420 件（普通 Git 387、实际 LFS 33），均一致。</w:t>
      </w:r>
    </w:p>
    <w:p>
      <w:r>
        <w:t xml:space="preserve">V0_demo02 的 42 个、V0_demo03 的 1085 个 ignored 输出仅核对存在性及大小，缺少本轮开工前完整哈希快照，故全部旧输出相对开工前逐字节未变仍为未知。本地/只读远端 main 当时均为 </w:t>
      </w:r>
      <w:r>
        <w:t>8df72784265c375a327ffa3f0a0cf8c676f229a7</w:t>
      </w:r>
      <w:r>
        <w:t>，未改写。范围见</w:t>
      </w:r>
      <w:hyperlink r:id="rId45">
        <w:r>
          <w:rPr>
            <w:color w:val="185A82"/>
          </w:rPr>
          <w:t>保护证据</w:t>
        </w:r>
      </w:hyperlink>
      <w:r>
        <w:t>。</w:t>
      </w:r>
    </w:p>
    <w:p>
      <w:r>
        <w:t>解除完整原座阻塞仍需补足：两处内伸特征的真实用途、刚性/弹性及可用行程；12.5 mm 实物杯完整轮廓与公差，尤其底部圆角/倒角与局部避让；原座承托基准、实际装载方向/深度及配套关系的局部图或制造依据。A/B 用户任务角色无需因此重选。</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SC" w:hAnsi="Noto Sans CJK SC" w:eastAsia="Noto Sans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imensions/dimensions.csv" TargetMode="External"/><Relationship Id="rId11" Type="http://schemas.openxmlformats.org/officeDocument/2006/relationships/hyperlink" Target="vessel/README.md" TargetMode="External"/><Relationship Id="rId12" Type="http://schemas.openxmlformats.org/officeDocument/2006/relationships/hyperlink" Target="vessel/mesh_dimensions.csv" TargetMode="External"/><Relationship Id="rId13" Type="http://schemas.openxmlformats.org/officeDocument/2006/relationships/hyperlink" Target="vessel/mass_properties.csv" TargetMode="External"/><Relationship Id="rId14" Type="http://schemas.openxmlformats.org/officeDocument/2006/relationships/image" Target="media/image1.png"/><Relationship Id="rId15" Type="http://schemas.openxmlformats.org/officeDocument/2006/relationships/hyperlink" Target="geometry/refined_02/README.md" TargetMode="External"/><Relationship Id="rId16" Type="http://schemas.openxmlformats.org/officeDocument/2006/relationships/hyperlink" Target="geometry/refined_02/source_feature_identity.json" TargetMode="External"/><Relationship Id="rId17" Type="http://schemas.openxmlformats.org/officeDocument/2006/relationships/hyperlink" Target="results/native_gate_01/run_status.json" TargetMode="External"/><Relationship Id="rId18" Type="http://schemas.openxmlformats.org/officeDocument/2006/relationships/hyperlink" Target="scene_orientation/README.md" TargetMode="External"/><Relationship Id="rId19" Type="http://schemas.openxmlformats.org/officeDocument/2006/relationships/image" Target="media/image2.png"/><Relationship Id="rId20" Type="http://schemas.openxmlformats.org/officeDocument/2006/relationships/hyperlink" Target="scene_check/final_static_static_validation.json" TargetMode="External"/><Relationship Id="rId21" Type="http://schemas.openxmlformats.org/officeDocument/2006/relationships/hyperlink" Target="geometry/budget.md" TargetMode="External"/><Relationship Id="rId22" Type="http://schemas.openxmlformats.org/officeDocument/2006/relationships/hyperlink" Target="results/diagnostic_01/terminal_metrics.json" TargetMode="External"/><Relationship Id="rId23" Type="http://schemas.openxmlformats.org/officeDocument/2006/relationships/hyperlink" Target="results/diagnostic_01/result.json" TargetMode="External"/><Relationship Id="rId24" Type="http://schemas.openxmlformats.org/officeDocument/2006/relationships/hyperlink" Target="results/diagnostic_01/independent_score.json" TargetMode="External"/><Relationship Id="rId25" Type="http://schemas.openxmlformats.org/officeDocument/2006/relationships/hyperlink" Target="results/diagnostic_01/runtime.json" TargetMode="External"/><Relationship Id="rId26" Type="http://schemas.openxmlformats.org/officeDocument/2006/relationships/hyperlink" Target="results/diagnostic_01/driver_result.json" TargetMode="External"/><Relationship Id="rId27" Type="http://schemas.openxmlformats.org/officeDocument/2006/relationships/hyperlink" Target="results/diagnostic_02/independent_score.json" TargetMode="External"/><Relationship Id="rId28" Type="http://schemas.openxmlformats.org/officeDocument/2006/relationships/hyperlink" Target="results/diagnostic_02/terminal_metrics.json" TargetMode="External"/><Relationship Id="rId29" Type="http://schemas.openxmlformats.org/officeDocument/2006/relationships/hyperlink" Target="results/diagnostic_03/independent_score.json" TargetMode="External"/><Relationship Id="rId30" Type="http://schemas.openxmlformats.org/officeDocument/2006/relationships/hyperlink" Target="results/diagnostic_03/terminal_metrics.json" TargetMode="External"/><Relationship Id="rId31" Type="http://schemas.openxmlformats.org/officeDocument/2006/relationships/hyperlink" Target="results/diagnostic_03/control_trace.csv" TargetMode="External"/><Relationship Id="rId32" Type="http://schemas.openxmlformats.org/officeDocument/2006/relationships/hyperlink" Target="data_audit/diagnostic_01_portable_audit.json" TargetMode="External"/><Relationship Id="rId33" Type="http://schemas.openxmlformats.org/officeDocument/2006/relationships/hyperlink" Target="data_audit/diagnostic_01_portable_independent_check.json" TargetMode="External"/><Relationship Id="rId34" Type="http://schemas.openxmlformats.org/officeDocument/2006/relationships/hyperlink" Target="data_audit/diagnostic_03_portable_audit.json" TargetMode="External"/><Relationship Id="rId35" Type="http://schemas.openxmlformats.org/officeDocument/2006/relationships/hyperlink" Target="data_audit/diagnostic_03_portable_independent_check.json" TargetMode="External"/><Relationship Id="rId36" Type="http://schemas.openxmlformats.org/officeDocument/2006/relationships/hyperlink" Target="media/failure_transport_main.mp4" TargetMode="External"/><Relationship Id="rId37" Type="http://schemas.openxmlformats.org/officeDocument/2006/relationships/hyperlink" Target="media/failure_transport_closeup.mp4" TargetMode="External"/><Relationship Id="rId38" Type="http://schemas.openxmlformats.org/officeDocument/2006/relationships/hyperlink" Target="media/manifest.json" TargetMode="External"/><Relationship Id="rId39" Type="http://schemas.openxmlformats.org/officeDocument/2006/relationships/hyperlink" Target="media/failure_02_held_deviation_last5s.mp4" TargetMode="External"/><Relationship Id="rId40" Type="http://schemas.openxmlformats.org/officeDocument/2006/relationships/hyperlink" Target="media/preinsert_diagnostic_03_main.mp4" TargetMode="External"/><Relationship Id="rId41" Type="http://schemas.openxmlformats.org/officeDocument/2006/relationships/hyperlink" Target="media/preinsert_diagnostic_03_align_upward_hold.mp4" TargetMode="External"/><Relationship Id="rId42" Type="http://schemas.openxmlformats.org/officeDocument/2006/relationships/hyperlink" Target="media/preinsert_diagnostic_03_obs256_camera2_65s_end.mp4" TargetMode="External"/><Relationship Id="rId43" Type="http://schemas.openxmlformats.org/officeDocument/2006/relationships/hyperlink" Target="media/preinsert_diagnostic_03_manifest.json" TargetMode="External"/><Relationship Id="rId44" Type="http://schemas.openxmlformats.org/officeDocument/2006/relationships/hyperlink" Target="data_audit/demo03_package_media_audit.json" TargetMode="External"/><Relationship Id="rId45" Type="http://schemas.openxmlformats.org/officeDocument/2006/relationships/hyperlink" Target="preserv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LabSim V0 demo04 原座装载核查报告</dc:title>
  <dc:subject>用户更正尺寸后的单仪器场景与实际运行证据</dc:subject>
  <dc:creator>LabSim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