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300" w:lineRule="exact"/>
      </w:pPr>
      <w:r>
        <w:rPr>
          <w:rFonts w:ascii="Arial" w:hAnsi="Arial" w:eastAsia="Noto Sans CJK SC"/>
          <w:color w:val="000000"/>
          <w:sz w:val="40"/>
        </w:rPr>
        <w:t>LabSim 内部使用优化反馈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0"/>
        </w:rPr>
        <w:t>2026年10月28日  Project_release_v1  codex/labsim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已统一当前文档与完整Teacher入口，增加数据用途选择和移交检查，修正图像输入契约并完成实际tokenizer审计。普通Teacher完整装载已实际通过，关闭后由正式ACT和DP入口读出成功batch。场景、原座、器皿尺寸、控制与评分沿用发布基线。</w:t>
      </w:r>
    </w:p>
    <w:p>
      <w:pPr>
        <w:pStyle w:val="Heading1"/>
        <w:spacing w:after="120" w:line="300" w:lineRule="exact"/>
      </w:pPr>
      <w:r>
        <w:rPr>
          <w:rFonts w:ascii="Arial" w:hAnsi="Arial" w:eastAsia="Noto Sans CJK SC"/>
          <w:color w:val="000000"/>
          <w:sz w:val="28"/>
        </w:rPr>
        <w:t>使用入口与修改范围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从仓库README开始，随后按docs/development/ONBOARDING.md执行环境准备、完整任务、标准采集、读取和策略接入。当前版本快捷别名current解析为Project_release_v1；省略版本继续兼容Project_v1。启动摘要集中显示真实版本、任务、策略、资产、指纹、模式、用途及输出目录。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用途record_purpose独立于成功资格。demonstration用于示范，policy_evaluation用于策略，lifecycle_diagnostic与resource_probe用于诊断。历史用途通过episode身份、来源路径和完整SHA256绑定sidecar补充，原H5和任务标签不改。</w:t>
      </w:r>
    </w:p>
    <w:p>
      <w:pPr>
        <w:pStyle w:val="Heading1"/>
        <w:spacing w:after="120" w:line="300" w:lineRule="exact"/>
      </w:pPr>
      <w:r>
        <w:rPr>
          <w:rFonts w:ascii="Arial" w:hAnsi="Arial" w:eastAsia="Noto Sans CJK SC"/>
          <w:color w:val="000000"/>
          <w:sz w:val="28"/>
        </w:rPr>
        <w:t>本次实际验证</w:t>
      </w:r>
    </w:p>
    <w:tbl>
      <w:tblPr>
        <w:tblW w:type="auto" w:w="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7597"/>
      </w:tblGrid>
      <w:tr>
        <w:tc>
          <w:tcPr>
            <w:tcW w:type="dxa" w:w="1928"/>
            <w:shd w:fill="D9E2F3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检查</w:t>
            </w:r>
          </w:p>
        </w:tc>
        <w:tc>
          <w:tcPr>
            <w:tcW w:type="dxa" w:w="7597"/>
            <w:shd w:fill="D9E2F3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b/>
                <w:color w:val="000000"/>
                <w:sz w:val="20"/>
              </w:rPr>
              <w:t>实际结果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CPU与文档</w:t>
            </w:r>
          </w:p>
        </w:tc>
        <w:tc>
          <w:tcPr>
            <w:tcW w:type="dxa" w:w="7597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904项CPU通过；138本地链接和19条命令检查通过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普通Teacher</w:t>
            </w:r>
          </w:p>
        </w:tc>
        <w:tc>
          <w:tcPr>
            <w:tcW w:type="dxa" w:w="7597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完整成功；7539条transition；3秒撤离后稳定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记录与读取</w:t>
            </w:r>
          </w:p>
        </w:tc>
        <w:tc>
          <w:tcPr>
            <w:tcW w:type="dxa" w:w="7597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版本、资产、用途与指纹闭合；正式ACT和DP成功batch可读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历史保护</w:t>
            </w:r>
          </w:p>
        </w:tc>
        <w:tc>
          <w:tcPr>
            <w:tcW w:type="dxa" w:w="7597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14个原H5及任务标签哈希前后相同；生命周期资格2／1／3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用途集合</w:t>
            </w:r>
          </w:p>
        </w:tc>
        <w:tc>
          <w:tcPr>
            <w:tcW w:type="dxa" w:w="7597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π0.5正式策略1条；显式诊断11条；资源探针10条</w:t>
            </w:r>
          </w:p>
        </w:tc>
      </w:tr>
      <w:tr>
        <w:tc>
          <w:tcPr>
            <w:tcW w:type="dxa" w:w="1928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数据移交</w:t>
            </w:r>
          </w:p>
        </w:tc>
        <w:tc>
          <w:tcPr>
            <w:tcW w:type="dxa" w:w="7597"/>
          </w:tcPr>
          <w:p>
            <w:pPr>
              <w:spacing w:after="80" w:before="80"/>
            </w:pPr>
            <w:r>
              <w:rPr>
                <w:rFonts w:ascii="Arial" w:hAnsi="Arial" w:eastAsia="Noto Sans CJK SC"/>
                <w:color w:val="000000"/>
                <w:sz w:val="20"/>
              </w:rPr>
              <w:t>relative-links整树移动、copy独立移动可读；缺源文件明确报告</w:t>
            </w:r>
          </w:p>
        </w:tc>
      </w:tr>
    </w:tbl>
    <w:p>
      <w:pPr>
        <w:spacing w:after="120" w:line="300" w:lineRule="exact" w:before="140"/>
      </w:pPr>
      <w:r>
        <w:rPr>
          <w:rFonts w:ascii="Arial" w:hAnsi="Arial" w:eastAsia="Noto Sans CJK SC"/>
          <w:color w:val="000000"/>
          <w:sz w:val="20"/>
        </w:rPr>
        <w:t>完整原始连续录像见随包media/teacher_full.mp4；H5约2 GB，按来源清单单独移交。所有输出使用新目录，历史结果保持原样。</w:t>
      </w:r>
    </w:p>
    <w:p>
      <w:r>
        <w:br w:type="page"/>
      </w:r>
    </w:p>
    <w:p>
      <w:pPr>
        <w:pStyle w:val="Heading1"/>
        <w:spacing w:after="120" w:line="300" w:lineRule="exact"/>
      </w:pPr>
      <w:r>
        <w:rPr>
          <w:rFonts w:ascii="Arial" w:hAnsi="Arial" w:eastAsia="Noto Sans CJK SC"/>
          <w:color w:val="000000"/>
          <w:sz w:val="28"/>
        </w:rPr>
        <w:t>推荐调用顺序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先选择已安装Isaac Sim 5.1的Python 3.11。完整命令见随包commands.sh；以下均从仓库根目录执行。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./labsim assets download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./labsim doctor --project-version Project_release_v1 --json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./labsim demo --project-version Project_release_v1 --backend teacher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--gui --record-mode collect --record-purpose demonstration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--output outputs/demo_NEW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标准示范采集与成功读取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export LABSIM_RUN=outputs/collect_NEW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./labsim collect --project-version Project_release_v1 --backend teacher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--headless --episodes 1 --record-purpose demonstration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--record-mode collect --output "$LABSIM_RUN"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# 等待进程关闭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"$LABSIM_PYTHON" -m demos.lab_cuvette_project_release_v1.dataset_index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"$LABSIM_RUN" --purpose demonstration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--output "$LABSIM_RUN/index/demonstrations.hdf5"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./labsim dataset-check --index "$LABSIM_RUN/index/demonstrations.hdf5"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--sample-filter success --policy both --output "$LABSIM_RUN/read.json"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策略环境服务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>./labsim serve --project-version Project_release_v1 --headless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--record-purpose policy_evaluation --record-mode eval --port 8097 \</w:t>
      </w:r>
    </w:p>
    <w:p>
      <w:pPr>
        <w:spacing w:after="20" w:line="240" w:lineRule="exact"/>
      </w:pPr>
      <w:r>
        <w:rPr>
          <w:rFonts w:ascii="Arial" w:hAnsi="Arial" w:eastAsia="Noto Sans CJK SC"/>
          <w:color w:val="000000"/>
          <w:sz w:val="18"/>
        </w:rPr>
        <w:t xml:space="preserve">  --output outputs/rpc_NEW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公开生命周期为reset、observe、execute、receipt、status、finish、close。模型等待时物理暂停，动作和后继状态分别记录。Teacher完整装载；GPT图像闭环抓取离架搬运；π0.5真实连续RPC；Harness本地短程接入；ACT／DP正常reader；自有策略使用同一接口。</w:t>
      </w:r>
    </w:p>
    <w:p>
      <w:pPr>
        <w:pStyle w:val="Heading1"/>
        <w:spacing w:after="120" w:line="300" w:lineRule="exact"/>
      </w:pPr>
      <w:r>
        <w:rPr>
          <w:rFonts w:ascii="Arial" w:hAnsi="Arial" w:eastAsia="Noto Sans CJK SC"/>
          <w:color w:val="000000"/>
          <w:sz w:val="28"/>
        </w:rPr>
        <w:t>输入事实与后续事项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环境及π0.5服务使用原生640×480 HWC RGB uint8，线上带batch为[1,480,640,3]。H5／训练reader分支为256×256 CHW；checkpoint另用PIL双线性缩至224×168、上下填边，再转模型浮点张量。现有图像及动作转换数值保持。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实际部署tokenizer测得任务文本264→200，截断在TCP四元数中。保存文本哈希、完整及有效tokens、mask与decode；历史内部张量为同源码离线重建，新服务会直接记录processor实际输出。后续文本优化应使用独立输入配置。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21"/>
        </w:rPr>
        <w:t>内部使用影响排序：先处理任务文本截断；大批次采集监控RSS并分组正常关闭；SDK退出回调保留日志和完成凭据；跨机器离线导入及PID身份改造单列后续。精细控制结果测量对象为空夹爪仿真TCP。资产质量摩擦及接触仍采用工程假设，真实校准单独进行。</w:t>
      </w:r>
    </w:p>
    <w:p>
      <w:pPr>
        <w:spacing w:after="120" w:line="300" w:lineRule="exact"/>
      </w:pPr>
      <w:r>
        <w:rPr>
          <w:rFonts w:ascii="Arial" w:hAnsi="Arial" w:eastAsia="Noto Sans CJK SC"/>
          <w:color w:val="000000"/>
          <w:sz w:val="18"/>
        </w:rPr>
        <w:t>实际GPU运行提交 5c6b6422f9ba6fc16ac7b4374799c5ed7e426e47。最终发布提交、对应CI和逐文件SHA256见阅读包清单及publication.json。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内部使用优化反馈</dc:title>
  <dc:subject>当前使用入口与实际验收</dc:subject>
  <dc:creator>LabSim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